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pStyle w:val="9"/>
        <w:widowControl/>
        <w:shd w:val="clear" w:fill="FFFFFF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三农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fill="FFFFFF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/>
        </w:rPr>
        <w:t>202</w:t>
      </w:r>
      <w:r>
        <w:rPr>
          <w:rFonts w:hint="default" w:ascii="仿宋" w:hAnsi="仿宋" w:eastAsia="仿宋" w:cs="仿宋"/>
          <w:sz w:val="32"/>
          <w:szCs w:val="32"/>
          <w:shd w:val="clear" w:fill="FFFFFF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                签 发 人：何耀武</w:t>
      </w:r>
    </w:p>
    <w:p>
      <w:pPr>
        <w:spacing w:line="500" w:lineRule="exact"/>
        <w:jc w:val="center"/>
        <w:rPr>
          <w:rFonts w:hint="default" w:eastAsia="仿宋_GB2312"/>
          <w:b/>
          <w:bCs/>
          <w:sz w:val="44"/>
          <w:lang w:val="en-US" w:eastAsia="zh-CN"/>
        </w:rPr>
      </w:pPr>
      <w:r>
        <w:rPr>
          <w:rFonts w:hint="eastAsia" w:eastAsia="仿宋_GB2312"/>
          <w:b/>
          <w:bCs/>
          <w:sz w:val="4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 xml:space="preserve">                   办理结果：A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仿宋_GB2312"/>
          <w:b/>
          <w:bCs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对市政协七届七次会议第195号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的答复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尊敬的王观明等委员：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您提出的关于“特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色农业标准化建设”的提案收悉。经与市财政局、市市场监督管理局共同研究，现答复如下：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发展农业标准化，建立农业标准体系，是推进我市农业供给侧结构性改革，推动特色农业由数量效益型向质量效益型转变的必由之路。为进一步做好特色农业标准化建设，我们主要作出如下工作：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一、政策规划强产业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聚焦苹果、中药材、食用菌、蔬菜等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特色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导产业，高起点编制了《三门峡市特色农业综合发展规划》，配套出台了《关于建设沿黄乡村振兴示范带的工作方案》，制定了《三门峡市乡村产业振兴五年行动计划》和《三门峡市2022年产业振兴工作要点》，明确了产业发展重点和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围绕果品、食用菌、中药材、蔬菜、烟叶、林果、畜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牧、水产等规模优势产业，初步建立了特色产业发展谱系。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制定下发了《三门峡市特色农业产业链“链长制”工作方案》，对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果品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、食用菌、中药材、生猪、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林果、烟叶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个特色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产业成立链长制，</w:t>
      </w:r>
      <w:r>
        <w:rPr>
          <w:rFonts w:hint="eastAsia" w:ascii="仿宋_GB2312" w:hAnsi="仿宋_GB2312" w:eastAsia="仿宋_GB2312" w:cs="仿宋_GB2312"/>
          <w:b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形成长效落实机制，推动产业集聚、集群、集约化发展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一季度，全市完成水果栽植4.02万亩,其中苹果1万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亩、特色水果3.02万亩；蔬菜播种面积达25.2万亩；食用菌规模达3.5亿袋；新发展中药材种植6.35万亩，人工栽培面积达92.45万亩；生猪存栏69万头，肉、蛋、奶产量分别为2.98、1.39、0.43万吨。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二、农业标准建体系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" w:cs="仿宋_GB2312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以优质、安全、绿色为导向，推进全市主导农产品、特色农产品标准体系建设。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制（修）订地方标准。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围绕苹果、食用菌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我市特色农业开展标准体系建设，大力推进我市地方特色农业标准化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制定与国家标准、地方标准、行业标准相配套的企业标准和生产操作规程，完善质量安全内控制度，不断实现农产品生产有标可依、产品有标可检、执法有标可判。截至目前全市共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（修）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订蔬菜、果品、食用菌、畜牧、中药材等方面市级以上标准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力推进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农业规模化、标准化、品牌化提升，农产品质量安全标准体系框架基本形成。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组建农业标准化专家库。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在全局系统内遴选中级及以上职称专家22人，组建三门峡市农业标准化专家库，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充分发挥标准化专家的技术支持和专业指导作用，深入生产一线开展技术指导，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不断推进农业标准化发展进程。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大力开展标准化生产宣传培训。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积极开展农药使用量零增长宣传活动，有力推动绿色防控技术的示范和推广，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通过近年努力，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我市农作物高效低毒农药使用量占使用总量的90%以上，亩用药量由去年的210克下降到190克，农药利用率达到40.3%。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开展兽用禁限药物“告知、承诺”宣传活动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提高兽药生产、经营、使用企业的主体责任意识，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规范了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兽药经营市场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测土配方施肥技术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、化肥机械深施技术、种肥同播技术、水肥一体化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技术等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化肥减量增效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集成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技术模式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以及推广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有机肥、高效新型肥料（缓释肥料、水溶肥料、生物肥料）等，建立化肥减量增效示范田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，推动全市化肥使用量零增长。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三、示范带动促融合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围绕黄河流域生态保护和高质量发展，制定了《三门峡市建设沿黄乡村振兴示范带的工作方案》，打造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“四区融合”的沿黄乡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村振兴示范带“三门峡样板”。目前，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沿黄乡村振兴示范带共涉及的16个乡镇，90+个行政村，已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有56个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村庄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开展规划编制工作；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渑池县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成功创建了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省级中药材现代农业产业园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省级农业绿色发展先行区；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认定了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灵宝市食用菌、示范区蔬菜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湖滨区油用牡丹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市级现代农业产业园；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有87.5%的行政村形成了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“一村一品”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的产业格局；特色农业收益占农业经营性收入的85.8%以上。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目前，全市市级以上龙头企业11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家，其中国家级3家、省级22家。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农民合作社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示范社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国家级20家、省级28家、市级139家。家庭农场省级示范农场11家，市级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点突破、线拉动、面推进，让标准化工作有效性有了新突破。其中，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灵宝市优质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葡萄标准化示范区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推广葡萄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新品种、新技术、新模式，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通过标准化的理念和方法，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推行化肥农药减施增效技术、肥水高效利用技术等先进技术应用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改变传统种植习惯，使优质果率提升到95%以上，病虫害发生危害下降80%以上，促进了产业提升，2021年示范区实现利润36000余万元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城乡一体化示范区</w:t>
      </w:r>
      <w:r>
        <w:rPr>
          <w:rFonts w:hint="eastAsia" w:ascii="仿宋_GB2312" w:hAnsi="仿宋_GB2312" w:eastAsia="仿宋_GB2312" w:cs="仿宋_GB2312"/>
          <w:sz w:val="32"/>
          <w:szCs w:val="32"/>
        </w:rPr>
        <w:t>育苗农业标准化制定《早春茬嫁接西瓜育苗技术规程》等育苗技术规程9项，《拱棚西瓜标准化生产技术规程》等生产技术规程2项，建立完善了覆盖主要育苗品种的标准体系，为带动我市3万亩高山蔬菜种植提供了有力的标准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default" w:ascii="黑体" w:hAnsi="黑体" w:eastAsia="黑体" w:cs="黑体"/>
          <w:sz w:val="32"/>
          <w:szCs w:val="32"/>
          <w:lang w:val="en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特色认证显成效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品牌是优质农产品的价值所在，加强绿色食品、有机农产品、地理标志农产品的认证和管理，打造三门峡知名农产品品牌，是确保人民群众“舌尖上的安全”的重要手段。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截止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2022年7月，全市共有“三品一标”产品109个，其中绿色食品84个，名特优新农产品11个，农产品地理标志14个。绿色食品面积8.2万亩，产量23.1万吨；农产品地理标志产品面积478.5万亩，产量223.2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万吨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品牌认证对提升农业标准化水平，保障农产品消费安全，提高我市农产品市场竞争力有着重要的意义。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五、财政支持有保障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近年来，市财政局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支持农田建设、耕地地力保护补贴、耕地轮作保护补贴和种粮农民补贴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等多种方式和途径，持续加大资金投入支持，改善农田基础设施条件，为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我市特色农业标准化建设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提供了有力支撑。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2021年市财政筹措资金33269万元，2022年上半年市财政已筹措资金30037万元，大力支持农田建设、农机购置、“两牛”产业、种粮补贴等特色农业发展，为我市农业标准化建设提供了有力支持。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为继续做好全市特色农业标准化建设工作，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我们将从以下五方面努力：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一是调整结构，促进产业转型升级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紧扣“打造五彩三门峡”要求，围绕果品、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食用菌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蔬菜、中药材</w:t>
      </w:r>
      <w:r>
        <w:rPr>
          <w:rFonts w:hint="eastAsia" w:ascii="仿宋_GB2312" w:hAnsi="仿宋_GB2312" w:eastAsia="仿宋_GB2312" w:cs="仿宋_GB2312"/>
          <w:sz w:val="32"/>
          <w:szCs w:val="32"/>
        </w:rPr>
        <w:t>等优势产业，坚定不移地调整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、品种、产业结构，推动高效特色农业由传统特色农业向现代特色农业、低端农产品向高端农产品、粗放经营向集约经营转型升级。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质量兴农，打造农业优势品牌。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积极实施品牌提升行动，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继续加大“二品一标”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和名特优新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农产品认证力度，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推进品种培优、品质提升、品牌打造和标准化生产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，推动我市农业由特色优势向品牌优势转变。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主体培育，引领特色产业实现跨越。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积极培育家庭农场、合作社、农业企业等新型主体，坚持全产业链发展，拉长产业链、提升价值链、拓宽销售链，实现从产品竞争向产业链条竞争的转变。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产业融合，注入特色农业发展动能。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快与休闲农业、乡村旅游、电子商务的融合；加快与工业的融合，特别是在果品、食用菌等农产品加工方面取得新突破；加大新型职业农民培育力度，促进农村“双新双创”。实现一二三产业互动发展，为特色农业高质量发展注入新动能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五是标准建设，构建特色农业标准体系。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立足资源禀赋，发挥区位优势，以农业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标准化示范项目、农业地方标推体系建设为抓手，围绕苹果、食用菌、中药材等我市的特色农业开展标准体系建设，构建特色农业标准体系，大力推进我市地方特色农业标准化。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六是财政支持，提供有力基础保障。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市财政将继续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决策部署，综合考虑可用财力及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特色农业发展情况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等因素，积极保障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特色农业发展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财政补助资金稳定投入，为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特色农业发展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提供更加有力的资金支持。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2022年9月30日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联系部门及电话：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质管科  2806123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　联系人：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张占朝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840" w:leftChars="0" w:right="0" w:rightChars="0" w:hanging="84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抄送：市人大选工委（3份），市政府办公室人大政协联络科（1份），代表所在县（市、区）人大、政府（各1份）</w:t>
      </w: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局办公室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mFcNO9gAAAAMAQAADwAAAAAAAAABACAAAAAiAAAAZHJzL2Rvd25yZXYueG1s&#10;UEsBAhQAFAAAAAgAh07iQEi29if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ThmYjQ3Zjk0MDY2NjFiZjZmMDIxMGE3MjBlNzgifQ=="/>
  </w:docVars>
  <w:rsids>
    <w:rsidRoot w:val="7B612DCB"/>
    <w:rsid w:val="51882D53"/>
    <w:rsid w:val="6BC7765B"/>
    <w:rsid w:val="6F7F4719"/>
    <w:rsid w:val="71217424"/>
    <w:rsid w:val="7B612DCB"/>
    <w:rsid w:val="7BB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int="default" w:ascii="宋体" w:hAnsi="宋体" w:eastAsia="宋体" w:cs="Times New Roman"/>
      <w:sz w:val="24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 w:ascii="Calibri" w:hAnsi="Calibri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ind w:firstLine="420"/>
    </w:pPr>
    <w:rPr>
      <w:rFonts w:ascii="宋体" w:hAnsi="Calibri" w:eastAsia="宋体" w:cs="宋体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2"/>
    <w:qFormat/>
    <w:uiPriority w:val="0"/>
    <w:pPr>
      <w:spacing w:after="120" w:line="480" w:lineRule="auto"/>
    </w:pPr>
    <w:rPr>
      <w:rFonts w:ascii="Times New Roman" w:hAnsi="Times New Roman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4">
    <w:name w:val="Strong"/>
    <w:qFormat/>
    <w:uiPriority w:val="0"/>
    <w:rPr>
      <w:b/>
    </w:rPr>
  </w:style>
  <w:style w:type="paragraph" w:customStyle="1" w:styleId="15">
    <w:name w:val="Body Text First Indent1"/>
    <w:basedOn w:val="2"/>
    <w:qFormat/>
    <w:uiPriority w:val="0"/>
    <w:pPr>
      <w:spacing w:after="0" w:afterLines="0"/>
      <w:ind w:firstLine="420"/>
    </w:pPr>
    <w:rPr>
      <w:b/>
      <w:bCs/>
      <w:szCs w:val="21"/>
    </w:rPr>
  </w:style>
  <w:style w:type="paragraph" w:customStyle="1" w:styleId="1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2914</Words>
  <Characters>3044</Characters>
  <Lines>0</Lines>
  <Paragraphs>0</Paragraphs>
  <TotalTime>4</TotalTime>
  <ScaleCrop>false</ScaleCrop>
  <LinksUpToDate>false</LinksUpToDate>
  <CharactersWithSpaces>3113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2022-09-28T03:21:00Z</dcterms:created>
  <dc:creator>薛玮</dc:creator>
  <cp:lastModifiedBy>          ° 笑眼迷人 </cp:lastModifiedBy>
  <dcterms:modified xsi:type="dcterms:W3CDTF">2022-09-30T02:22:42Z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AB9FB82B655B48D5ABDB3050E28F6487</vt:lpwstr>
  </property>
</Properties>
</file>