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44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spacing w:line="500" w:lineRule="exact"/>
        <w:jc w:val="center"/>
        <w:rPr>
          <w:rFonts w:hint="eastAsia" w:eastAsia="仿宋_GB2312"/>
          <w:b/>
          <w:bCs/>
          <w:sz w:val="10"/>
          <w:szCs w:val="10"/>
        </w:rPr>
      </w:pPr>
    </w:p>
    <w:p>
      <w:pPr>
        <w:spacing w:line="560" w:lineRule="exact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eastAsia="仿宋_GB2312"/>
          <w:b/>
          <w:bCs/>
          <w:sz w:val="32"/>
          <w:szCs w:val="32"/>
        </w:rPr>
        <w:t>　</w:t>
      </w:r>
      <w:r>
        <w:rPr>
          <w:rFonts w:hint="eastAsia" w:eastAsia="仿宋_GB2312"/>
          <w:bCs/>
          <w:sz w:val="32"/>
          <w:szCs w:val="32"/>
          <w:lang w:eastAsia="zh-CN"/>
        </w:rPr>
        <w:t>三农提案</w:t>
      </w:r>
      <w:r>
        <w:rPr>
          <w:rFonts w:eastAsia="仿宋_GB2312"/>
          <w:bCs/>
          <w:sz w:val="32"/>
          <w:szCs w:val="32"/>
        </w:rPr>
        <w:t>〔</w:t>
      </w:r>
      <w:r>
        <w:rPr>
          <w:rFonts w:hint="eastAsia" w:eastAsia="仿宋_GB2312"/>
          <w:bCs/>
          <w:sz w:val="32"/>
          <w:szCs w:val="32"/>
          <w:lang w:val="en-US" w:eastAsia="zh-CN"/>
        </w:rPr>
        <w:t>2022</w:t>
      </w:r>
      <w:r>
        <w:rPr>
          <w:rFonts w:eastAsia="仿宋_GB2312"/>
          <w:bCs/>
          <w:sz w:val="32"/>
          <w:szCs w:val="32"/>
        </w:rPr>
        <w:t>〕</w:t>
      </w:r>
      <w:r>
        <w:rPr>
          <w:rFonts w:hint="eastAsia" w:eastAsia="仿宋_GB2312"/>
          <w:bCs/>
          <w:sz w:val="32"/>
          <w:szCs w:val="32"/>
          <w:lang w:val="en-US" w:eastAsia="zh-CN"/>
        </w:rPr>
        <w:t>12</w:t>
      </w:r>
      <w:r>
        <w:rPr>
          <w:rFonts w:eastAsia="仿宋_GB2312"/>
          <w:bCs/>
          <w:sz w:val="32"/>
          <w:szCs w:val="32"/>
        </w:rPr>
        <w:t>号　　　　　　签发人：</w:t>
      </w:r>
      <w:r>
        <w:rPr>
          <w:rFonts w:hint="eastAsia" w:eastAsia="仿宋_GB2312"/>
          <w:bCs/>
          <w:sz w:val="32"/>
          <w:szCs w:val="32"/>
          <w:lang w:eastAsia="zh-CN"/>
        </w:rPr>
        <w:t>何耀武</w:t>
      </w:r>
    </w:p>
    <w:p>
      <w:pPr>
        <w:spacing w:line="100" w:lineRule="exact"/>
        <w:rPr>
          <w:rFonts w:eastAsia="仿宋_GB2312"/>
          <w:bCs/>
          <w:sz w:val="18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</w:t>
      </w:r>
      <w:r>
        <w:rPr>
          <w:rFonts w:eastAsia="仿宋_GB2312"/>
          <w:bCs/>
          <w:sz w:val="18"/>
          <w:szCs w:val="32"/>
          <w:u w:val="single"/>
        </w:rPr>
        <w:t xml:space="preserve">                                                                                                 </w:t>
      </w:r>
    </w:p>
    <w:p>
      <w:pPr>
        <w:spacing w:line="560" w:lineRule="exact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eastAsia="仿宋_GB2312"/>
          <w:bCs/>
          <w:sz w:val="32"/>
          <w:szCs w:val="32"/>
        </w:rPr>
        <w:t>　　　　　　　　　　　　　　　　　　办理结果：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A</w:t>
      </w:r>
    </w:p>
    <w:p>
      <w:pPr>
        <w:spacing w:line="560" w:lineRule="exact"/>
        <w:jc w:val="center"/>
        <w:rPr>
          <w:rFonts w:eastAsia="文星标宋"/>
          <w:b/>
          <w:bCs/>
          <w:sz w:val="44"/>
          <w:szCs w:val="44"/>
        </w:rPr>
      </w:pPr>
    </w:p>
    <w:p>
      <w:pPr>
        <w:spacing w:line="560" w:lineRule="exact"/>
        <w:rPr>
          <w:rFonts w:eastAsia="文星标宋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对市政协七届七次会议第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175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号提案的答复</w:t>
      </w:r>
    </w:p>
    <w:p>
      <w:pPr>
        <w:spacing w:line="560" w:lineRule="exac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何耀武、史跃强、王自珍、李建峰</w:t>
      </w:r>
      <w:r>
        <w:rPr>
          <w:rFonts w:eastAsia="仿宋_GB2312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您提出的关于“</w:t>
      </w:r>
      <w:r>
        <w:rPr>
          <w:rFonts w:hint="eastAsia" w:eastAsia="仿宋_GB2312"/>
          <w:bCs/>
          <w:sz w:val="32"/>
          <w:szCs w:val="32"/>
          <w:lang w:val="en-US" w:eastAsia="zh-CN"/>
        </w:rPr>
        <w:t>关于打造沿黄乡村振兴示范带”</w:t>
      </w:r>
      <w:r>
        <w:rPr>
          <w:rFonts w:eastAsia="仿宋_GB2312"/>
          <w:bCs/>
          <w:sz w:val="32"/>
          <w:szCs w:val="32"/>
        </w:rPr>
        <w:t>的提案收悉。现答复如下：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为深入贯彻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落实习近平总书记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对河南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重要讲话和重要指示精神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，抢抓黄河流域生态保护和高质量发展战略机遇，在市委市政府的领导下，我们提前着手、提前谋划，结合全市黄河廊道建设，率先启动实施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沿黄乡村振兴示范带工程，并于2020年9月份开始编制《三门峡市沿黄乡村振兴示范带专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项规划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聚焦沿黄6个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16个乡镇90+个行政村，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以一二三产业融合发展为路径，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拓展农业多种功能、开发乡村多元价值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为抓手，集聚资源、集聚要素、集聚力量，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按照“一带三区四组团”空间布局，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建设沿黄乡村振兴示范带。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基本情况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据初步统计，沿黄乡村振兴示范带共涉及16个乡镇，90+个行政村，791个组，40534户、15.07万人；耕地面积18.82万亩；2021年底，沿黄乡村农村居民人居可支配收入21626.9元，高于全市平均数的18.2%；农村集体经济总收入达到1168.17万元；村集体收入超5万元的行政村有71个，超10万元的有35个、超20万元的有15个、超50万元的有5个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主要工作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自2020年启动沿黄乡村振兴示范带建设以来，市领导高度重视，刘书记、范市长、丁书记、孙市长都多次对沿黄乡村振兴示范带建设情况进行调研指导，提出了明确要求和发展举措，有力地促进了示范带各项工作的顺利开展。主要表现在“五个一批”和开展示范标杆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一是编制了一批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村庄规划。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紧密衔接国土空间总体规划编制，按照“多规合一”的原则，做实做细沿黄乡村振兴示范带村庄规划。目前有56个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村庄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开展规划编制工作，其中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个村庄已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，13个村庄规划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正在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编制。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u w:val="none"/>
          <w:lang w:val="en-US" w:eastAsia="zh-CN"/>
        </w:rPr>
        <w:t>二是壮大了一批特色产业。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渑池县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成功创建了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省级中药材现代农业产业园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省级农业绿色发展先行区；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认定了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灵宝市食用菌、示范区蔬菜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湖滨区油用牡丹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市级现代农业产业园；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命名了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示范区大王镇、灵宝市故县镇、阳平镇、渑池县坡头乡、陕州区张湾乡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5个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市级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产业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" w:eastAsia="zh-CN" w:bidi="ar-SA"/>
        </w:rPr>
        <w:t>强镇；沿黄乡村中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有87.5%的行政村形成了“一村一品”的产业格局；特色农业收益占农业经营性收入的85.8%以上。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三是实施了一批农业项目。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沿黄乡村振兴示范带已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开工项目共计102个，总投资11.18亿元，其中产业项目15个，总投资3.73亿元；农旅融合项目14个，总投资4.63亿元；基础设施及农村人居环境整治提升项目73个，总投资2.82亿元。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四是建成了一批沿黄景观。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（市、区）充分发挥地位地理优势，注重挖掘文化元素，先后建成了黄河入豫第一湾观景点、黄河古驿站、东寨九曲黄河观景台、湖滨区山水林田湖草生态梯田等沿黄景观，不断夯实沿黄乡村振兴示范带基础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五是打造了一批乡村旅游。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弘扬和传承红色文化、乡土文化、农耕文明等优秀文化遗产，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积极推动“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文化+旅游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文化+农业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等有效融合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着力打造具有三门峡特色的乡村旅游线路。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初步打造了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杨家村宋文化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东寨村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摄影、后地村古枣林、穴子仓民宿餐饮等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品牌，形成了一村一特色、一村一主题，既有颜值、又有内涵的乡村名片。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六是沿黄美丽乡村示范建设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。集中力量打造湖滨区高庙乡大安村、陕州区大营镇城村、示范区大王镇后地村、灵宝市函谷关镇东寨村全省美丽乡村标杆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以点突破带全局、以点示范树标杆，串点成线、连线成片、集片成带，同步推进沿黄乡村振兴示范带建设。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为高标准高起点打造全省美丽乡村示范标杆，指导各地有计划、有步骤、有重点地开展创建工作，根据中央、省市 1 号文件和国家美丽乡村建设指南、整治技术及评价标准，结合我市人居环境整治标准及考评办法，拟定《三门峡市沿黄美丽乡村示范标杆建设标准》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尽管沿黄乡村振兴示范带起步早、有成效，但也存在一些问题，主要有：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大部分村庄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产业底子薄弱，产业升级缺乏突破口；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  <w:t>三产融合不够深入，农产品加工能力弱，品牌不强，产业链条短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沿黄乡村振兴示范带建设合力还未形成，要素建设还需提升。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美丽乡村建设治理还需要进一步加强和改进等。这些问题还需在今后的工作中进一步加以解决。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三、下步打算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把建设沿黄乡村振兴示范带作为全面推进乡村振兴的有力抓手，树立典型、打造标杆，推动全市乡村振兴战略走在全省前列。重点下好“六个先手棋”。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一是下好“规划”先手棋。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切实发挥规划的引领作用，因地制宜，做好村庄规划，尊重村庄的历史传统、民风民俗，彰显资源优势，遵循客观规律，进一步优化乡村生产力布局，让示范带更具时代特点。对剩余24个村庄加快启动“多规合一”实用性村庄规划编制工作，确保符合条件的沿黄村庄规划应编尽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二是下好“项目”先手棋。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立足资源禀赋优势，统筹谋划沿黄乡村振兴示范带项目库建设，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积极争取国家、省“一村一品”、产业强镇、现代农业产业园、乡村旅游等项目；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/>
        </w:rPr>
        <w:t>强化资金整合、资源统筹，加大对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乡村振兴基础设施及人居环境综合整治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lang w:val="en-US" w:eastAsia="zh-CN"/>
        </w:rPr>
        <w:t>支持力度，确保沿黄乡村振兴示范带要素集聚、项目支撑、持续建设。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三是下好“产业”先手棋。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“因地制宜”，立足乡村资源禀赋、区位条件、产业基础，围绕小杂水果、有机菌菜、道地药材、生态养殖等特色产业，从品种培优、品质提升、品牌打造和标准化生产入手，进一步形成规模，建设一批产业园、示范园，持续壮大主导产业。发挥龙头企业特别是农民专业合作社的引领作用，促其上规模、上档次、上水平、上项目，拉长产业链、优化供应链、提升价值链，推动特色主导产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四是下好“建设”先手棋。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“微改造、巧植入、精提升”，以垃圾处置、厕所革命、污水治理、村容村貌提升为重点，深化开展“三五”创建活动，通过建设一批美丽公路、美丽庭院、美丽打卡点，全面提升乡村风貌、乡村品质，将沿黄村庄打造成为成为环境美、田园美、村庄美、庭园美的示范标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五是下好“融合”先手棋。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加快转变理念，坚持市场化思路，打造乡村产业平台和产业环境，让小农户更好对接大市场。要狠抓市场主体培育，积极引导社会资本进村、工商资本下乡、乡贤返乡投资、村集体和百姓共同参与，构建企业与农民利益联结机制。要创新方法路径，运用新理念，大力挖掘乡村经济价值、文化价值、生态价值，让农村成为“看得见山，望得见水，记得住乡愁”的美丽幸福家园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六是下好“治理”先手棋。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要健全党领导乡村的组织体制、工作机制，发挥党建引领作用，深化农村综合改革，加快集体经济发展。大力实施农村精神文明建设，推进移风易俗，传承优秀传统文化，构建起乡村治理体系和乡村治理能力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69" w:leftChars="2128" w:firstLine="0" w:firstLineChars="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69" w:leftChars="2128" w:firstLine="0" w:firstLineChars="0"/>
        <w:jc w:val="both"/>
        <w:textAlignment w:val="auto"/>
        <w:rPr>
          <w:rFonts w:hint="eastAsia" w:eastAsia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69" w:leftChars="2128" w:firstLine="0" w:firstLineChars="0"/>
        <w:jc w:val="both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三门峡市农业农村局</w:t>
      </w:r>
      <w:r>
        <w:rPr>
          <w:rFonts w:eastAsia="仿宋_GB2312"/>
          <w:bCs/>
          <w:sz w:val="32"/>
          <w:szCs w:val="32"/>
        </w:rPr>
        <w:t>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2022年9月12日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联系部门及电话：市农业农村局发展规划科　8520269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联系人：张力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40" w:lineRule="exact"/>
        <w:ind w:left="960" w:leftChars="0" w:right="0" w:rightChars="0" w:hanging="960" w:hangingChars="3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抄送：市政协提案委（3份），市政府办公室人大政协联络科（1份），委员所在县（市、区）政协、政府（各1份）。</w:t>
      </w: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文星楷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三门峡市农业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局办公室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文星楷体">
    <w:altName w:val="方正楷体_GBK"/>
    <w:panose1 w:val="02010604000101010101"/>
    <w:charset w:val="00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FD78FF"/>
    <w:multiLevelType w:val="singleLevel"/>
    <w:tmpl w:val="3EFD78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zAzMjM2NDcwYmYwNzllYmMwMTk3ZGNiNGJkNTgifQ=="/>
  </w:docVars>
  <w:rsids>
    <w:rsidRoot w:val="7F2E421C"/>
    <w:rsid w:val="3FFEBC75"/>
    <w:rsid w:val="6CD68429"/>
    <w:rsid w:val="7F2E421C"/>
    <w:rsid w:val="BDAF3F15"/>
    <w:rsid w:val="BEB7F504"/>
    <w:rsid w:val="C55D0E6F"/>
    <w:rsid w:val="F3FE6761"/>
    <w:rsid w:val="FFF3AA62"/>
    <w:rsid w:val="FFF89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0"/>
    <w:pPr>
      <w:spacing w:after="0" w:afterLines="0"/>
      <w:ind w:firstLine="420"/>
    </w:pPr>
    <w:rPr>
      <w:b/>
      <w:bCs/>
      <w:szCs w:val="21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next w:val="5"/>
    <w:unhideWhenUsed/>
    <w:qFormat/>
    <w:uiPriority w:val="99"/>
    <w:pPr>
      <w:ind w:firstLine="420" w:firstLineChars="200"/>
    </w:pPr>
  </w:style>
  <w:style w:type="paragraph" w:styleId="5">
    <w:name w:val="index 5"/>
    <w:basedOn w:val="1"/>
    <w:next w:val="1"/>
    <w:qFormat/>
    <w:uiPriority w:val="0"/>
    <w:pPr>
      <w:widowControl w:val="0"/>
      <w:spacing w:line="240" w:lineRule="auto"/>
      <w:ind w:left="168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9"/>
    <w:qFormat/>
    <w:uiPriority w:val="0"/>
    <w:pPr>
      <w:spacing w:after="120" w:line="480" w:lineRule="auto"/>
    </w:pPr>
  </w:style>
  <w:style w:type="paragraph" w:customStyle="1" w:styleId="9">
    <w:name w:val="UserStyle_1"/>
    <w:basedOn w:val="1"/>
    <w:next w:val="4"/>
    <w:qFormat/>
    <w:uiPriority w:val="0"/>
    <w:pPr>
      <w:spacing w:after="120"/>
      <w:textAlignment w:val="baseline"/>
    </w:pPr>
  </w:style>
  <w:style w:type="paragraph" w:styleId="10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2022-09-13T00:33:00Z</dcterms:created>
  <dc:creator>猫叔</dc:creator>
  <cp:lastModifiedBy>kylin</cp:lastModifiedBy>
  <dcterms:modified xsi:type="dcterms:W3CDTF">2022-09-29T16:18:42Z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59BF3CA4E93C44D69C3BB2F9BE57B018</vt:lpwstr>
  </property>
</Properties>
</file>