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eastAsia="仿宋_GB2312"/>
          <w:b/>
          <w:bCs/>
          <w:sz w:val="44"/>
        </w:rPr>
      </w:pPr>
    </w:p>
    <w:p>
      <w:pPr>
        <w:spacing w:line="500" w:lineRule="exact"/>
        <w:jc w:val="center"/>
        <w:rPr>
          <w:rFonts w:hint="eastAsia" w:eastAsia="仿宋_GB2312"/>
          <w:b/>
          <w:bCs/>
          <w:sz w:val="44"/>
        </w:rPr>
      </w:pPr>
    </w:p>
    <w:p>
      <w:pPr>
        <w:spacing w:line="500" w:lineRule="exact"/>
        <w:jc w:val="center"/>
        <w:rPr>
          <w:rFonts w:hint="eastAsia" w:eastAsia="仿宋_GB2312"/>
          <w:b/>
          <w:bCs/>
          <w:sz w:val="44"/>
        </w:rPr>
      </w:pPr>
    </w:p>
    <w:p>
      <w:pPr>
        <w:spacing w:line="500" w:lineRule="exact"/>
        <w:jc w:val="center"/>
        <w:rPr>
          <w:rFonts w:hint="eastAsia" w:eastAsia="仿宋_GB2312"/>
          <w:b/>
          <w:bCs/>
          <w:sz w:val="44"/>
        </w:rPr>
      </w:pPr>
    </w:p>
    <w:p>
      <w:pPr>
        <w:spacing w:line="500" w:lineRule="exact"/>
        <w:jc w:val="center"/>
        <w:rPr>
          <w:rFonts w:hint="eastAsia" w:eastAsia="仿宋_GB2312"/>
          <w:b/>
          <w:bCs/>
          <w:sz w:val="44"/>
        </w:rPr>
      </w:pPr>
    </w:p>
    <w:p>
      <w:pPr>
        <w:spacing w:line="500" w:lineRule="exact"/>
        <w:jc w:val="center"/>
        <w:rPr>
          <w:rFonts w:hint="eastAsia" w:eastAsia="仿宋_GB2312"/>
          <w:b/>
          <w:bCs/>
          <w:sz w:val="44"/>
        </w:rPr>
      </w:pPr>
    </w:p>
    <w:p>
      <w:pPr>
        <w:spacing w:line="500" w:lineRule="exact"/>
        <w:jc w:val="center"/>
        <w:rPr>
          <w:rFonts w:hint="eastAsia" w:eastAsia="仿宋_GB2312"/>
          <w:b/>
          <w:bCs/>
          <w:sz w:val="44"/>
        </w:rPr>
      </w:pPr>
    </w:p>
    <w:p>
      <w:pPr>
        <w:spacing w:line="500" w:lineRule="exact"/>
        <w:jc w:val="center"/>
        <w:rPr>
          <w:rFonts w:hint="eastAsia" w:eastAsia="仿宋_GB2312"/>
          <w:b/>
          <w:bCs/>
          <w:sz w:val="44"/>
        </w:rPr>
      </w:pPr>
    </w:p>
    <w:p>
      <w:pPr>
        <w:spacing w:line="500" w:lineRule="exact"/>
        <w:jc w:val="center"/>
        <w:rPr>
          <w:rFonts w:hint="eastAsia" w:eastAsia="仿宋_GB2312"/>
          <w:b/>
          <w:bCs/>
          <w:sz w:val="10"/>
          <w:szCs w:val="10"/>
        </w:rPr>
      </w:pPr>
    </w:p>
    <w:p>
      <w:pPr>
        <w:spacing w:line="500" w:lineRule="exact"/>
        <w:jc w:val="center"/>
        <w:rPr>
          <w:rFonts w:hint="eastAsia" w:eastAsia="仿宋_GB2312"/>
          <w:b/>
          <w:bCs/>
          <w:sz w:val="10"/>
          <w:szCs w:val="10"/>
        </w:rPr>
      </w:pPr>
    </w:p>
    <w:p>
      <w:pPr>
        <w:spacing w:line="560" w:lineRule="exact"/>
        <w:rPr>
          <w:rFonts w:hint="eastAsia" w:eastAsia="仿宋_GB2312"/>
          <w:bCs/>
          <w:sz w:val="32"/>
          <w:szCs w:val="32"/>
          <w:lang w:eastAsia="zh-CN"/>
        </w:rPr>
      </w:pPr>
      <w:r>
        <w:rPr>
          <w:rFonts w:eastAsia="仿宋_GB2312"/>
          <w:b/>
          <w:bCs/>
          <w:sz w:val="32"/>
          <w:szCs w:val="32"/>
        </w:rPr>
        <w:t>　</w:t>
      </w:r>
      <w:r>
        <w:rPr>
          <w:rFonts w:hint="eastAsia" w:eastAsia="仿宋_GB2312"/>
          <w:bCs/>
          <w:sz w:val="32"/>
          <w:szCs w:val="32"/>
          <w:lang w:eastAsia="zh-CN"/>
        </w:rPr>
        <w:t>三农提案</w:t>
      </w:r>
      <w:r>
        <w:rPr>
          <w:rFonts w:eastAsia="仿宋_GB2312"/>
          <w:bCs/>
          <w:sz w:val="32"/>
          <w:szCs w:val="32"/>
        </w:rPr>
        <w:t>〔</w:t>
      </w:r>
      <w:r>
        <w:rPr>
          <w:rFonts w:hint="eastAsia" w:eastAsia="仿宋_GB2312"/>
          <w:bCs/>
          <w:sz w:val="32"/>
          <w:szCs w:val="32"/>
          <w:lang w:val="en-US" w:eastAsia="zh-CN"/>
        </w:rPr>
        <w:t>2022</w:t>
      </w:r>
      <w:r>
        <w:rPr>
          <w:rFonts w:eastAsia="仿宋_GB2312"/>
          <w:bCs/>
          <w:sz w:val="32"/>
          <w:szCs w:val="32"/>
        </w:rPr>
        <w:t>〕</w:t>
      </w:r>
      <w:r>
        <w:rPr>
          <w:rFonts w:hint="eastAsia" w:eastAsia="仿宋_GB2312"/>
          <w:bCs/>
          <w:sz w:val="32"/>
          <w:szCs w:val="32"/>
          <w:lang w:val="en-US" w:eastAsia="zh-CN"/>
        </w:rPr>
        <w:t>10</w:t>
      </w:r>
      <w:r>
        <w:rPr>
          <w:rFonts w:eastAsia="仿宋_GB2312"/>
          <w:bCs/>
          <w:sz w:val="32"/>
          <w:szCs w:val="32"/>
        </w:rPr>
        <w:t>号　　　　　　签发人：</w:t>
      </w:r>
      <w:r>
        <w:rPr>
          <w:rFonts w:hint="eastAsia" w:eastAsia="仿宋_GB2312"/>
          <w:bCs/>
          <w:sz w:val="32"/>
          <w:szCs w:val="32"/>
          <w:lang w:eastAsia="zh-CN"/>
        </w:rPr>
        <w:t>何耀武</w:t>
      </w:r>
    </w:p>
    <w:p>
      <w:pPr>
        <w:spacing w:line="100" w:lineRule="exact"/>
        <w:rPr>
          <w:rFonts w:eastAsia="仿宋_GB2312"/>
          <w:bCs/>
          <w:sz w:val="18"/>
          <w:szCs w:val="32"/>
        </w:rPr>
      </w:pPr>
      <w:r>
        <w:rPr>
          <w:rFonts w:eastAsia="仿宋_GB2312"/>
          <w:bCs/>
          <w:sz w:val="32"/>
          <w:szCs w:val="32"/>
          <w:u w:val="single"/>
        </w:rPr>
        <w:t xml:space="preserve"> </w:t>
      </w:r>
      <w:r>
        <w:rPr>
          <w:rFonts w:eastAsia="仿宋_GB2312"/>
          <w:bCs/>
          <w:sz w:val="18"/>
          <w:szCs w:val="32"/>
          <w:u w:val="single"/>
        </w:rPr>
        <w:t xml:space="preserve">                                                                                                 </w:t>
      </w:r>
    </w:p>
    <w:p>
      <w:pPr>
        <w:spacing w:line="560" w:lineRule="exact"/>
        <w:rPr>
          <w:rFonts w:hint="eastAsia" w:eastAsia="仿宋_GB2312"/>
          <w:bCs/>
          <w:sz w:val="32"/>
          <w:szCs w:val="32"/>
          <w:lang w:val="en-US" w:eastAsia="zh-CN"/>
        </w:rPr>
      </w:pPr>
      <w:r>
        <w:rPr>
          <w:rFonts w:eastAsia="仿宋_GB2312"/>
          <w:bCs/>
          <w:sz w:val="32"/>
          <w:szCs w:val="32"/>
        </w:rPr>
        <w:t>　　　　　　　　　　　　　　　　　　办理结果：</w:t>
      </w:r>
      <w:r>
        <w:rPr>
          <w:rFonts w:hint="eastAsia" w:eastAsia="仿宋_GB2312"/>
          <w:bCs/>
          <w:sz w:val="32"/>
          <w:szCs w:val="32"/>
          <w:lang w:val="en-US" w:eastAsia="zh-CN"/>
        </w:rPr>
        <w:t>A</w:t>
      </w:r>
    </w:p>
    <w:p>
      <w:pPr>
        <w:spacing w:line="560" w:lineRule="exact"/>
        <w:jc w:val="center"/>
        <w:rPr>
          <w:rFonts w:eastAsia="文星标宋"/>
          <w:b/>
          <w:bCs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对市政协七届七次会议第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167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号提案的答复</w:t>
      </w:r>
    </w:p>
    <w:p>
      <w:pPr>
        <w:spacing w:line="560" w:lineRule="exact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　　　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  <w:lang w:val="en-US"/>
        </w:rPr>
        <w:t>段才旺</w:t>
      </w:r>
      <w:r>
        <w:rPr>
          <w:rFonts w:eastAsia="仿宋_GB2312"/>
          <w:bCs/>
          <w:sz w:val="32"/>
          <w:szCs w:val="32"/>
        </w:rPr>
        <w:t>委员：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　　您提出的关于“</w:t>
      </w:r>
      <w:r>
        <w:rPr>
          <w:rFonts w:hint="eastAsia" w:eastAsia="仿宋_GB2312"/>
          <w:bCs/>
          <w:sz w:val="32"/>
          <w:szCs w:val="32"/>
          <w:lang w:val="en-US"/>
        </w:rPr>
        <w:t>关于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‘</w:t>
      </w:r>
      <w:r>
        <w:rPr>
          <w:rFonts w:hint="eastAsia" w:eastAsia="仿宋_GB2312"/>
          <w:bCs/>
          <w:sz w:val="32"/>
          <w:szCs w:val="32"/>
          <w:lang w:val="en-US"/>
        </w:rPr>
        <w:t>多措并举，解决乡村人口流失、土地荒废、养老难问题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’</w:t>
      </w:r>
      <w:r>
        <w:rPr>
          <w:rFonts w:eastAsia="仿宋_GB2312"/>
          <w:bCs/>
          <w:sz w:val="32"/>
          <w:szCs w:val="32"/>
        </w:rPr>
        <w:t>”的提案收悉。</w:t>
      </w:r>
      <w:r>
        <w:rPr>
          <w:rFonts w:hint="eastAsia" w:eastAsia="仿宋_GB2312"/>
          <w:bCs/>
          <w:sz w:val="32"/>
          <w:szCs w:val="32"/>
          <w:lang w:eastAsia="zh-CN"/>
        </w:rPr>
        <w:t>经与三门峡市民政局共同研究，</w:t>
      </w:r>
      <w:r>
        <w:rPr>
          <w:rFonts w:eastAsia="仿宋_GB2312"/>
          <w:bCs/>
          <w:sz w:val="32"/>
          <w:szCs w:val="32"/>
        </w:rPr>
        <w:t>现答复如下：</w:t>
      </w: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为破解“三农”发展瓶颈，有效解决乡村产业薄弱，城乡基础设施、公共服务差距问题，全面推进乡村振兴战略紧紧围绕乡村发展、乡村建设、乡村治理加快补齐农业农村短板弱项，让更多农民在家门口富起来，享受更加完善生产生活服务，建设宜居宜业美丽乡村。</w:t>
      </w: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2" w:firstLineChars="200"/>
        <w:textAlignment w:val="auto"/>
        <w:rPr>
          <w:rFonts w:hint="eastAsia" w:ascii="黑体" w:hAnsi="黑体" w:eastAsia="黑体" w:cs="黑体"/>
          <w:b/>
          <w:bCs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w w:val="100"/>
          <w:sz w:val="32"/>
          <w:szCs w:val="32"/>
          <w:lang w:val="en-US" w:eastAsia="zh-CN"/>
        </w:rPr>
        <w:t>一、发展乡村产业，促进富民增收</w:t>
      </w: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pacing w:val="0"/>
          <w:kern w:val="0"/>
          <w:sz w:val="32"/>
          <w:szCs w:val="32"/>
          <w:shd w:val="clear" w:color="auto" w:fill="FFFFFF"/>
        </w:rPr>
        <w:t>一是</w:t>
      </w:r>
      <w:r>
        <w:rPr>
          <w:rFonts w:hint="eastAsia" w:ascii="楷体_GB2312" w:hAnsi="楷体_GB2312" w:eastAsia="楷体_GB2312" w:cs="楷体_GB2312"/>
          <w:b/>
          <w:bCs/>
          <w:spacing w:val="0"/>
          <w:kern w:val="0"/>
          <w:sz w:val="32"/>
          <w:szCs w:val="32"/>
          <w:shd w:val="clear" w:color="auto" w:fill="FFFFFF"/>
          <w:lang w:eastAsia="zh-CN"/>
        </w:rPr>
        <w:t>找</w:t>
      </w:r>
      <w:r>
        <w:rPr>
          <w:rFonts w:hint="eastAsia" w:ascii="楷体_GB2312" w:hAnsi="楷体_GB2312" w:eastAsia="楷体_GB2312" w:cs="楷体_GB2312"/>
          <w:b/>
          <w:bCs/>
          <w:spacing w:val="0"/>
          <w:kern w:val="0"/>
          <w:sz w:val="32"/>
          <w:szCs w:val="32"/>
          <w:shd w:val="clear" w:color="auto" w:fill="FFFFFF"/>
          <w:lang w:val="en-US" w:eastAsia="zh-CN"/>
        </w:rPr>
        <w:t>准</w:t>
      </w:r>
      <w:r>
        <w:rPr>
          <w:rFonts w:hint="eastAsia" w:ascii="楷体_GB2312" w:hAnsi="楷体_GB2312" w:eastAsia="楷体_GB2312" w:cs="楷体_GB2312"/>
          <w:b/>
          <w:bCs/>
          <w:spacing w:val="0"/>
          <w:kern w:val="0"/>
          <w:sz w:val="32"/>
          <w:szCs w:val="32"/>
          <w:shd w:val="clear" w:color="auto" w:fill="FFFFFF"/>
          <w:lang w:eastAsia="zh-CN"/>
        </w:rPr>
        <w:t>定位</w:t>
      </w:r>
      <w:r>
        <w:rPr>
          <w:rFonts w:hint="eastAsia" w:ascii="楷体_GB2312" w:hAnsi="楷体_GB2312" w:eastAsia="楷体_GB2312" w:cs="楷体_GB2312"/>
          <w:b/>
          <w:bCs/>
          <w:spacing w:val="0"/>
          <w:kern w:val="0"/>
          <w:sz w:val="32"/>
          <w:szCs w:val="32"/>
          <w:shd w:val="clear" w:color="auto" w:fill="FFFFFF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对接好我市在全</w:t>
      </w:r>
      <w:r>
        <w:rPr>
          <w:rFonts w:hint="eastAsia" w:ascii="仿宋_GB2312" w:hAnsi="仿宋_GB2312" w:eastAsia="仿宋_GB2312" w:cs="仿宋_GB2312"/>
          <w:sz w:val="32"/>
          <w:szCs w:val="32"/>
        </w:rPr>
        <w:t>省“一区两带三山”战略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区位优势，立足自然禀赋，再造发展优势，</w:t>
      </w:r>
      <w:r>
        <w:rPr>
          <w:rFonts w:hint="eastAsia" w:ascii="仿宋_GB2312" w:hAnsi="仿宋_GB2312" w:eastAsia="仿宋_GB2312" w:cs="仿宋_GB2312"/>
          <w:sz w:val="32"/>
          <w:szCs w:val="32"/>
        </w:rPr>
        <w:t>积极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打造</w:t>
      </w:r>
      <w:r>
        <w:rPr>
          <w:rFonts w:hint="eastAsia" w:ascii="仿宋_GB2312" w:hAnsi="仿宋_GB2312" w:eastAsia="仿宋_GB2312" w:cs="仿宋_GB2312"/>
          <w:sz w:val="32"/>
          <w:szCs w:val="32"/>
        </w:rPr>
        <w:t>“一区两带”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乡村产业</w:t>
      </w:r>
      <w:r>
        <w:rPr>
          <w:rFonts w:hint="eastAsia" w:ascii="仿宋_GB2312" w:hAnsi="仿宋_GB2312" w:eastAsia="仿宋_GB2312" w:cs="仿宋_GB2312"/>
          <w:sz w:val="32"/>
          <w:szCs w:val="32"/>
        </w:rPr>
        <w:t>发展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路径。打造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伏牛山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特色产业优势区，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建设全省重要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特色农产品生产基地；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打造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沿黄和南水北调这“两带”，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生态优先绿色发展为引领，推进“三产融合”发展，建设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全省农业生态保护和高质量发展示范带。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t>立足县域主导产业，加快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形成县城精深加工产业集聚、乡镇畅通流通加工服务节点、村级壮大特色产品基地，辐射带动农户增收的发展格局。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坚持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t>工业化理念、产业链思维谋划乡村产业发展，加快业态培育，提升价值链、贯通供应链，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实现生产效率强、经营主体强、产品质量强、产业效益强、市场竞争力强、带农增收强的“六强”目标。</w:t>
      </w: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二是明确目标。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重点打造好</w:t>
      </w:r>
      <w:r>
        <w:rPr>
          <w:rFonts w:hint="eastAsia" w:ascii="仿宋_GB2312" w:hAnsi="仿宋_GB2312" w:eastAsia="仿宋_GB2312" w:cs="仿宋_GB2312"/>
          <w:sz w:val="32"/>
          <w:szCs w:val="32"/>
        </w:rPr>
        <w:t>伏牛山特色农产品优势区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依托优质食品原料等优势，加快全产业链、全价值链建设，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实施全市特色产业“11335”行动，</w:t>
      </w:r>
      <w:r>
        <w:rPr>
          <w:rFonts w:hint="eastAsia" w:ascii="仿宋_GB2312" w:hAnsi="仿宋_GB2312" w:eastAsia="仿宋_GB2312" w:cs="仿宋_GB2312"/>
          <w:sz w:val="32"/>
          <w:szCs w:val="32"/>
        </w:rPr>
        <w:t>大力发展农产品工业，打造苹果、食用菌、中药材、生猪、食品工业5个特色产业集群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。重点建设好</w:t>
      </w:r>
      <w:r>
        <w:rPr>
          <w:rFonts w:hint="eastAsia" w:ascii="仿宋_GB2312" w:hAnsi="仿宋_GB2312" w:eastAsia="仿宋_GB2312" w:cs="仿宋_GB2312"/>
          <w:sz w:val="32"/>
          <w:szCs w:val="32"/>
        </w:rPr>
        <w:t>沿黄乡村振兴示范带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以一二三产业融合发展为路径，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拓展农业多种功能、开发乡村多元价值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bidi="ar"/>
        </w:rPr>
        <w:t>聚焦沿黄村镇，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按照“一带三区四组团”空间布局，加快推进沿黄乡村振兴示范带项目建设，形成一批可看、可学、可持续发展的典型做法。围绕卢氏县南水北调水源地保护，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建设好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南水北调绿色农业示范带，</w:t>
      </w:r>
      <w:r>
        <w:rPr>
          <w:rFonts w:hint="eastAsia" w:ascii="仿宋_GB2312" w:hAnsi="仿宋_GB2312" w:eastAsia="仿宋_GB2312" w:cs="仿宋_GB2312"/>
          <w:spacing w:val="11"/>
          <w:kern w:val="21"/>
          <w:sz w:val="32"/>
          <w:szCs w:val="32"/>
        </w:rPr>
        <w:t>重</w:t>
      </w:r>
      <w:r>
        <w:rPr>
          <w:rFonts w:hint="eastAsia" w:ascii="仿宋_GB2312" w:hAnsi="仿宋_GB2312" w:eastAsia="仿宋_GB2312" w:cs="仿宋_GB2312"/>
          <w:sz w:val="32"/>
          <w:szCs w:val="32"/>
        </w:rPr>
        <w:t>点发展食用菌、中药材、森林康养、文旅文创、乡村旅游、电子商务等绿色产业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2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shd w:val="clear" w:color="auto" w:fill="FFFFFF"/>
          <w:lang w:eastAsia="zh-CN"/>
        </w:rPr>
        <w:t>三是强链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延链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在全市开展特色产业发展谱系情况调研，围绕我市果品、食用菌、中药材、蔬菜、烟叶、林果、畜牧等规模优势产业进行摸底调研，按照生产、经营、加工3个体系，初步建立了特色产业发展谱系。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做优做强果品</w:t>
      </w:r>
      <w:r>
        <w:rPr>
          <w:rFonts w:hint="eastAsia" w:ascii="仿宋_GB2312" w:hAnsi="仿宋_GB2312" w:eastAsia="仿宋_GB2312" w:cs="仿宋_GB2312"/>
          <w:sz w:val="32"/>
          <w:szCs w:val="32"/>
        </w:rPr>
        <w:t>、食用菌、中药材、生猪、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林果、烟叶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个特色产业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链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实行“链长制”推进，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全面建立以市领导任链长，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相关职能部门主要负责同志任副链长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的工作机制。坚持</w:t>
      </w:r>
      <w:r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  <w:t>延链、强链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、稳链、畅链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导向制定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>关于加快建设特色农业强市促进乡村产业振兴的实施意见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》，明确6</w:t>
      </w:r>
      <w:r>
        <w:rPr>
          <w:rFonts w:hint="eastAsia" w:ascii="仿宋_GB2312" w:hAnsi="仿宋_GB2312" w:eastAsia="仿宋_GB2312" w:cs="仿宋_GB2312"/>
          <w:sz w:val="32"/>
          <w:szCs w:val="32"/>
        </w:rPr>
        <w:t>个特色产业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工作重点及考评办法，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形成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了“1+6”政策体系。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2" w:firstLineChars="200"/>
        <w:jc w:val="both"/>
        <w:rPr>
          <w:rFonts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shd w:val="clear" w:color="auto" w:fill="FFFFFF"/>
          <w:lang w:eastAsia="zh-CN"/>
        </w:rPr>
        <w:t>四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shd w:val="clear" w:color="auto" w:fill="FFFFFF"/>
        </w:rPr>
        <w:t>是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shd w:val="clear" w:color="auto" w:fill="FFFFFF"/>
          <w:lang w:eastAsia="zh-CN"/>
        </w:rPr>
        <w:t>优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化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shd w:val="clear" w:color="auto" w:fill="FFFFFF"/>
          <w:lang w:eastAsia="zh-CN"/>
        </w:rPr>
        <w:t>结构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shd w:val="clear" w:color="auto" w:fill="FFFFFF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坚定不移走生态优先、绿色发展的路子，</w:t>
      </w:r>
      <w:r>
        <w:rPr>
          <w:rFonts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持续做优做强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“</w:t>
      </w:r>
      <w:r>
        <w:rPr>
          <w:rFonts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果牧菌药菜烟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”</w:t>
      </w:r>
      <w:r>
        <w:rPr>
          <w:rFonts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六大产业，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加快生产方式转型，</w:t>
      </w:r>
      <w:r>
        <w:rPr>
          <w:rFonts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建设优质林果、畜牧、食用菌、蔬菜、中药材、烟叶基地。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推动果树上山，重点打造800米以上官道口-寺河山-二仙坡“高山黄金苹果带”，建设优质基地38万亩；推动设施种植，食用菌设施种植规模500万袋、施蔬菜播种面积6万亩；加快人工仿生栽培，道地中药材面积达到92万亩；注重品牌品质，加快灵宝市、陕州区、卢氏县为主的高山越夏蔬菜基地和以渑池县朝天椒，灵宝市黄花菜、九孔阌莲、芦笋等露地单品种蔬菜基地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2" w:firstLineChars="200"/>
        <w:rPr>
          <w:rFonts w:ascii="Times New Roman" w:hAnsi="Times New Roman" w:eastAsia="仿宋_GB2312" w:cs="Times New Roman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spacing w:val="0"/>
          <w:kern w:val="0"/>
          <w:sz w:val="32"/>
          <w:szCs w:val="32"/>
          <w:shd w:val="clear" w:color="auto" w:fill="FFFFFF"/>
          <w:lang w:eastAsia="zh-CN"/>
        </w:rPr>
        <w:t>五</w:t>
      </w:r>
      <w:r>
        <w:rPr>
          <w:rFonts w:hint="eastAsia" w:ascii="楷体_GB2312" w:hAnsi="楷体_GB2312" w:eastAsia="楷体_GB2312" w:cs="楷体_GB2312"/>
          <w:b/>
          <w:bCs/>
          <w:spacing w:val="0"/>
          <w:kern w:val="0"/>
          <w:sz w:val="32"/>
          <w:szCs w:val="32"/>
          <w:shd w:val="clear" w:color="auto" w:fill="FFFFFF"/>
        </w:rPr>
        <w:t>是</w:t>
      </w:r>
      <w:r>
        <w:rPr>
          <w:rFonts w:hint="eastAsia" w:ascii="楷体_GB2312" w:hAnsi="楷体_GB2312" w:eastAsia="楷体_GB2312" w:cs="楷体_GB2312"/>
          <w:b/>
          <w:bCs/>
          <w:spacing w:val="0"/>
          <w:kern w:val="0"/>
          <w:sz w:val="32"/>
          <w:szCs w:val="32"/>
          <w:shd w:val="clear" w:color="auto" w:fill="FFFFFF"/>
          <w:lang w:val="en-US" w:eastAsia="zh-CN"/>
        </w:rPr>
        <w:t>培</w:t>
      </w:r>
      <w:r>
        <w:rPr>
          <w:rFonts w:hint="eastAsia" w:ascii="楷体_GB2312" w:hAnsi="楷体_GB2312" w:eastAsia="楷体_GB2312" w:cs="楷体_GB2312"/>
          <w:b/>
          <w:bCs/>
          <w:spacing w:val="0"/>
          <w:kern w:val="0"/>
          <w:sz w:val="32"/>
          <w:szCs w:val="32"/>
          <w:shd w:val="clear" w:color="auto" w:fill="FFFFFF"/>
        </w:rPr>
        <w:t>育龙头。</w:t>
      </w:r>
      <w:r>
        <w:rPr>
          <w:rFonts w:ascii="Times New Roman" w:hAnsi="Times New Roman" w:eastAsia="仿宋_GB2312" w:cs="Times New Roman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全市现有省级产业化联合体10家；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市级以上农业龙头企业115家，其中</w:t>
      </w:r>
      <w:r>
        <w:rPr>
          <w:rFonts w:ascii="Times New Roman" w:hAnsi="Times New Roman" w:eastAsia="仿宋_GB2312" w:cs="Times New Roman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国家级2家、省级23家、销售收入60亿元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以上；</w:t>
      </w:r>
      <w:r>
        <w:rPr>
          <w:rFonts w:ascii="Times New Roman" w:hAnsi="Times New Roman" w:eastAsia="仿宋_GB2312" w:cs="Times New Roman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市级以上农民专业合作社示范社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209</w:t>
      </w:r>
      <w:r>
        <w:rPr>
          <w:rFonts w:ascii="Times New Roman" w:hAnsi="Times New Roman" w:eastAsia="仿宋_GB2312" w:cs="Times New Roman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个，其中国家级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20</w:t>
      </w:r>
      <w:r>
        <w:rPr>
          <w:rFonts w:ascii="Times New Roman" w:hAnsi="Times New Roman" w:eastAsia="仿宋_GB2312" w:cs="Times New Roman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个，省级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4</w:t>
      </w:r>
      <w:r>
        <w:rPr>
          <w:rFonts w:ascii="Times New Roman" w:hAnsi="Times New Roman" w:eastAsia="仿宋_GB2312" w:cs="Times New Roman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2个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；</w:t>
      </w:r>
      <w:r>
        <w:rPr>
          <w:rFonts w:ascii="Times New Roman" w:hAnsi="Times New Roman" w:eastAsia="仿宋_GB2312" w:cs="Times New Roman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省级示范家庭农场11家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。新型经营主体</w:t>
      </w:r>
      <w:r>
        <w:rPr>
          <w:rFonts w:ascii="Times New Roman" w:hAnsi="Times New Roman" w:eastAsia="仿宋_GB2312" w:cs="Times New Roman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示范带动农户23.6万户。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pacing w:line="560" w:lineRule="exact"/>
        <w:ind w:firstLine="642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六是加快园区建设。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持续聚焦推进农业农村现代化，加快产业集聚发展，建设农业现代化示范区、优势特色产业集群、现代农业产业园、农业产业强镇、一村一品农业园区，打造层级不同功能联动产业园区。截止目前，创建国家级产业集群、现代农业产业园、现代农业示范区、一二三产业融合示范园各1个、特色强镇5个。加强农业园区创建扶持力度，培育壮大优势产业，对获得市级认定园区给予一定奖补政策。</w:t>
      </w: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2" w:firstLineChars="200"/>
        <w:textAlignment w:val="auto"/>
        <w:rPr>
          <w:rFonts w:hint="default" w:ascii="黑体" w:hAnsi="黑体" w:eastAsia="黑体" w:cs="黑体"/>
          <w:b/>
          <w:bCs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w w:val="100"/>
          <w:sz w:val="32"/>
          <w:szCs w:val="32"/>
          <w:lang w:val="en-US" w:eastAsia="zh-CN"/>
        </w:rPr>
        <w:t>二、开展乡村建设，补齐城乡短板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一是实施乡村建设行动是重塑新型城乡关系，统筹城乡融合发展，补上农村现代化短板的重要抓手。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以全域规划为引领，统筹推进城乡一体发展，大力推动农村基础设施建设，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把公共基础设施建设往村覆盖往户延伸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实施城乡交通、供水保障、清洁能源、通信网络、广播电视、物流体系、农房品质提升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7个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专项行动，推动农村基础设施提档升级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；加快提升农村基本公共服务水平，实施城乡教育、公共文化、医疗卫生、社会保障行动，推动县乡村公共服务均等供给；全面改善农村人居环境，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整体提升村容村貌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，让农民群众获得感幸福感安全感明显增强，为全面建成小康社会打下坚实基础。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二是加强社会保障均等化，建立城乡统一医保、养老、低保网络体系，逐步缩小城乡服务差距。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实现城乡居民基本医疗保险“六统一”，构建以基本医保、大病保险为主体，医疗救助托底的多层次医疗保障体系，居民基本医保年度最高支付限额提高至15万元，大病保险最高限额提高至40万元，门诊重症慢性病保障扩大到16种，重特大疾病扩大为门诊40种住院38种。实现城乡居民基本养老保险应保尽保，应保人数108.24万人，实际参保108万人，参保率达99.78%。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推进城乡低保制度统筹发展，义马市、开发区试行城乡低保并轨，低保标准比例1：1，其余县（市、区）年底力争由1.5：1缩减到1.3：1目标。健全县乡村三级养老服务网络，示范区、陕州区县级</w:t>
      </w:r>
      <w:r>
        <w:rPr>
          <w:rFonts w:hint="default" w:ascii="宋体" w:hAnsi="宋体" w:eastAsia="仿宋_GB2312" w:cs="仿宋_GB2312"/>
          <w:sz w:val="32"/>
          <w:szCs w:val="32"/>
          <w:lang w:val="en-US" w:eastAsia="zh-CN"/>
        </w:rPr>
        <w:t>供养服务机构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建成使用，陕州区智慧养老服务信息平台入网老人数达5.5万人，9月底前县级机构平台全部投入运营；乡镇建成具备全托、日托、上门服务、对下指导等综合功能的养老服务中心，</w:t>
      </w:r>
      <w:r>
        <w:rPr>
          <w:rFonts w:hint="default" w:ascii="宋体" w:hAnsi="宋体" w:eastAsia="仿宋_GB2312" w:cs="仿宋_GB2312"/>
          <w:sz w:val="32"/>
          <w:szCs w:val="32"/>
          <w:lang w:val="en-US" w:eastAsia="zh-CN"/>
        </w:rPr>
        <w:t>计划完善农村互助幸福院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167</w:t>
      </w:r>
      <w:r>
        <w:rPr>
          <w:rFonts w:hint="default" w:ascii="宋体" w:hAnsi="宋体" w:eastAsia="仿宋_GB2312" w:cs="仿宋_GB2312"/>
          <w:sz w:val="32"/>
          <w:szCs w:val="32"/>
          <w:lang w:val="en-US" w:eastAsia="zh-CN"/>
        </w:rPr>
        <w:t>个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黑体" w:hAnsi="黑体" w:eastAsia="黑体" w:cs="黑体"/>
          <w:b/>
          <w:bCs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w w:val="100"/>
          <w:kern w:val="2"/>
          <w:sz w:val="32"/>
          <w:szCs w:val="32"/>
          <w:lang w:val="en-US" w:eastAsia="zh-CN" w:bidi="ar-SA"/>
        </w:rPr>
        <w:t>统筹开展利用撂荒地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撂荒地排查整治工作市委、市政府领导高度重视，市农业农村局专门就该工作进行专题安排部署，明确重点、明确时间、明确任务，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以市委农村工作领导小组名义印发了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三门峡市统筹利用撂荒地引导农民复耕复种工作方案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2022年要有效盘活60%以上撂荒地，增加粮食产量1亿斤，确保全市</w:t>
      </w:r>
      <w:r>
        <w:rPr>
          <w:rFonts w:hint="eastAsia" w:ascii="仿宋_GB2312" w:hAnsi="仿宋_GB2312" w:eastAsia="仿宋_GB2312" w:cs="仿宋_GB2312"/>
          <w:sz w:val="32"/>
          <w:szCs w:val="32"/>
        </w:rPr>
        <w:t>粮食播种面积稳定在24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万亩以上，产量稳定在1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亿斤以上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一是因地制宜分类施策。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针对撂荒地类型，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结合我市主要农作物适生分布区域和立地条件，对平原川区、丘陵旱塬、山地山区、黄河滩地、季节性撂荒提出针对性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复耕复种作物品种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；针对撂荒原因，对外出务工或无劳力、设施条件差、灾毁农田、工商大户流转后撂荒等情形提出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加强政策扶持引导农民复耕复种，加快设施建设改善耕种条件，加速土地流转推动规模经营，创新社会化服务推进全流程托管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，提升农技服务能力开展全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过程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集成技术示范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推广等措施，切实做好撂荒地盘活利用工作，确保粮食生产面积稳定。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二是探索创新利用模式。</w:t>
      </w:r>
      <w:r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" w:eastAsia="zh-CN" w:bidi="ar-SA"/>
        </w:rPr>
        <w:t>深化农村土地制度改革，完善“三权分置”推进土地有序流转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" w:eastAsia="zh-CN" w:bidi="ar-SA"/>
        </w:rPr>
        <w:t>，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从土地集中、产业集中、服务需求集中三个角度入手，通过组织形式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" w:eastAsia="zh-CN" w:bidi="ar-SA"/>
        </w:rPr>
        <w:t>、服务方式、创新利用模式三种途径有效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促进撂荒地规模经营。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一是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发挥发挥村党组织引领作用和整合资源优势，积极领办合作社盘活撂荒地经营权扩大生产规模，推进村集体经济发展壮大；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二是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支持各类新型农业经营主体开展多种形式生产性服务和规模化经营，推动种养加产供销一体各环节菜单式、半托管、全托管社会化服务，降低农户耕作成本，带动小农户与现代农业有机衔接；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三是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结合村庄、产业规划，加强全域土地综合治理，探索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土地整治+连片组织+生产托管”模式，实行先土地整治后推动生产托管工作方式，重点解决土地细碎突出问题，提升土地规模化经营水平，提高土地产出率。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三是压实责任确保实效。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为加快引导农民复耕复种，有效遏制耕地撂荒，进一步压实党政同责，抓好粮食安全生产，出台《关于压实党政同责抓好粮食安全生产的通知》，推动撂荒地统筹利用，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加强督导检查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问效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对无人耕种地块要求乡村两级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实行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“兜底种地”，确保6月底前完成撂荒地复耕复种工作。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切实扛起粮食安全重任，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组建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统筹利用撂荒地专项整治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工作专班，明确任务、人员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、时间节点，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确保统筹利用撂荒地各项措施落地、落细、落实。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明确时间节点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，加强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对撂荒地春种完成情况监测监管，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制定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夏种、冬种计划，并开展跟踪调度，年底对粮食生产工作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进行全面总结，对撂荒地利用工作进行绩效考核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强化考核结果应用，将统筹利用撂荒地与补贴、基础设施、社会化服务、园区创建等相关项目资金和支持政策相挂钩。</w:t>
      </w: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469" w:leftChars="2128" w:firstLine="0" w:firstLineChars="0"/>
        <w:jc w:val="both"/>
        <w:textAlignment w:val="auto"/>
        <w:rPr>
          <w:rFonts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  <w:lang w:val="en-US" w:eastAsia="zh-CN"/>
        </w:rPr>
        <w:t xml:space="preserve">                                 </w:t>
      </w:r>
      <w:r>
        <w:rPr>
          <w:rFonts w:hint="eastAsia" w:eastAsia="仿宋_GB2312"/>
          <w:bCs/>
          <w:sz w:val="32"/>
          <w:szCs w:val="32"/>
          <w:lang w:eastAsia="zh-CN"/>
        </w:rPr>
        <w:t>三门峡市农业农村局</w:t>
      </w:r>
      <w:r>
        <w:rPr>
          <w:rFonts w:eastAsia="仿宋_GB2312"/>
          <w:bCs/>
          <w:sz w:val="32"/>
          <w:szCs w:val="32"/>
        </w:rPr>
        <w:t>　　　　　　　　　　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2022年9月12日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联系部门及电话：市农业农村局发展规划科　8520269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联系人：张力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40" w:lineRule="exact"/>
        <w:ind w:left="960" w:leftChars="0" w:right="0" w:rightChars="0" w:hanging="960" w:hangingChars="3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40" w:lineRule="exact"/>
        <w:ind w:left="960" w:leftChars="0" w:right="0" w:rightChars="0" w:hanging="960" w:hangingChars="3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40" w:lineRule="exact"/>
        <w:ind w:left="960" w:leftChars="0" w:right="0" w:rightChars="0" w:hanging="960" w:hangingChars="3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</w:p>
    <w:p>
      <w:pPr>
        <w:pStyle w:val="2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</w:p>
    <w:p>
      <w:pP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</w:p>
    <w:p>
      <w:pPr>
        <w:pStyle w:val="2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40" w:lineRule="exact"/>
        <w:ind w:left="960" w:leftChars="0" w:right="0" w:rightChars="0" w:hanging="960" w:hangingChars="3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40" w:lineRule="exact"/>
        <w:ind w:left="960" w:leftChars="0" w:right="0" w:rightChars="0" w:hanging="960" w:hangingChars="3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抄送：市政协提案委（3份），市政府办公室人大政协联络科（1份），委员所在县（市、区）政协、政府（各1份）。</w:t>
      </w:r>
    </w:p>
    <w:p>
      <w:pPr>
        <w:keepNext w:val="0"/>
        <w:keepLines w:val="0"/>
        <w:pageBreakBefore w:val="0"/>
        <w:widowControl w:val="0"/>
        <w:pBdr>
          <w:top w:val="single" w:color="auto" w:sz="6" w:space="0"/>
          <w:bottom w:val="single" w:color="auto" w:sz="6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eastAsia="文星楷体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三门峡市农业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农村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局办公室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日印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00" w:hanging="800" w:hangingChars="250"/>
        <w:textAlignment w:val="auto"/>
        <w:rPr>
          <w:rFonts w:eastAsia="仿宋_GB2312"/>
          <w:bCs/>
          <w:sz w:val="32"/>
          <w:szCs w:val="32"/>
        </w:rPr>
      </w:pPr>
    </w:p>
    <w:p>
      <w:pPr>
        <w:pStyle w:val="2"/>
        <w:numPr>
          <w:ilvl w:val="0"/>
          <w:numId w:val="0"/>
        </w:num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??_GB2312">
    <w:altName w:val="URW Book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文星标宋">
    <w:altName w:val="方正书宋_GBK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文星楷体">
    <w:altName w:val="方正楷体_GBK"/>
    <w:panose1 w:val="02010604000101010101"/>
    <w:charset w:val="00"/>
    <w:family w:val="auto"/>
    <w:pitch w:val="default"/>
    <w:sig w:usb0="00000000" w:usb1="00000000" w:usb2="0000001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1ED2B8"/>
    <w:multiLevelType w:val="singleLevel"/>
    <w:tmpl w:val="AE1ED2B8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1NzAzMjM2NDcwYmYwNzllYmMwMTk3ZGNiNGJkNTgifQ=="/>
  </w:docVars>
  <w:rsids>
    <w:rsidRoot w:val="605A47DA"/>
    <w:rsid w:val="1F7D170B"/>
    <w:rsid w:val="2EFF3566"/>
    <w:rsid w:val="49EF46A9"/>
    <w:rsid w:val="605A47DA"/>
    <w:rsid w:val="6AFDB8DC"/>
    <w:rsid w:val="6FBFB29F"/>
    <w:rsid w:val="7B0C7FB9"/>
    <w:rsid w:val="7C6970E4"/>
    <w:rsid w:val="7FFBA198"/>
    <w:rsid w:val="7FFBE3BB"/>
    <w:rsid w:val="9FBBBACB"/>
    <w:rsid w:val="BF9F275C"/>
    <w:rsid w:val="D7F3D3E0"/>
    <w:rsid w:val="EDF7B4A1"/>
    <w:rsid w:val="EF57676C"/>
    <w:rsid w:val="EFDEC4C9"/>
    <w:rsid w:val="F6DC5009"/>
    <w:rsid w:val="FBCB3299"/>
    <w:rsid w:val="FBDE02EA"/>
    <w:rsid w:val="FE5E1155"/>
    <w:rsid w:val="FEF700A3"/>
    <w:rsid w:val="FFE3212D"/>
    <w:rsid w:val="FFFDB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basedOn w:val="3"/>
    <w:next w:val="1"/>
    <w:qFormat/>
    <w:uiPriority w:val="99"/>
    <w:pPr>
      <w:ind w:firstLine="100" w:firstLineChars="100"/>
    </w:pPr>
    <w:rPr>
      <w:rFonts w:ascii="Times New Roman" w:hAnsi="Times New Roman"/>
    </w:rPr>
  </w:style>
  <w:style w:type="paragraph" w:styleId="3">
    <w:name w:val="Body Text"/>
    <w:basedOn w:val="1"/>
    <w:next w:val="2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9">
    <w:name w:val="Default"/>
    <w:qFormat/>
    <w:uiPriority w:val="99"/>
    <w:pPr>
      <w:widowControl w:val="0"/>
      <w:autoSpaceDE w:val="0"/>
      <w:autoSpaceDN w:val="0"/>
      <w:adjustRightInd w:val="0"/>
    </w:pPr>
    <w:rPr>
      <w:rFonts w:ascii="??_GB2312" w:hAnsi="等线" w:eastAsia="Times New Roman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2022-09-13T04:26:00Z</dcterms:created>
  <dc:creator>猫叔</dc:creator>
  <cp:lastModifiedBy>kylin</cp:lastModifiedBy>
  <dcterms:modified xsi:type="dcterms:W3CDTF">2022-09-29T16:16:50Z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C7361C1BE8054AE8ACB6213D528E1E24</vt:lpwstr>
  </property>
</Properties>
</file>