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_GB2312" w:cs="仿宋_GB2312"/>
          <w:color w:val="000000"/>
        </w:rPr>
      </w:pPr>
      <w:r>
        <w:rPr>
          <w:rFonts w:hint="eastAsia" w:ascii="Times New Roman" w:hAnsi="Times New Roman" w:eastAsia="仿宋_GB2312" w:cs="仿宋_GB2312"/>
          <w:color w:val="000000"/>
        </w:rPr>
        <w:t xml:space="preserve"> </w:t>
      </w:r>
    </w:p>
    <w:p>
      <w:pPr>
        <w:rPr>
          <w:rFonts w:hint="eastAsia" w:ascii="Times New Roman" w:hAnsi="Times New Roman" w:eastAsia="仿宋_GB2312" w:cs="仿宋_GB2312"/>
          <w:color w:val="000000"/>
        </w:rPr>
      </w:pPr>
    </w:p>
    <w:p>
      <w:pPr>
        <w:rPr>
          <w:rFonts w:hint="eastAsia" w:ascii="Times New Roman" w:hAnsi="Times New Roman" w:eastAsia="仿宋_GB2312" w:cs="仿宋_GB2312"/>
          <w:color w:val="000000"/>
        </w:rPr>
      </w:pPr>
    </w:p>
    <w:p>
      <w:pPr>
        <w:pStyle w:val="13"/>
        <w:rPr>
          <w:rFonts w:hint="eastAsia" w:ascii="Times New Roman" w:hAnsi="Times New Roman"/>
        </w:rPr>
      </w:pPr>
    </w:p>
    <w:p>
      <w:pPr>
        <w:rPr>
          <w:rFonts w:hint="eastAsia" w:ascii="Times New Roman" w:hAnsi="Times New Roman" w:eastAsia="仿宋_GB2312" w:cs="仿宋_GB2312"/>
          <w:color w:val="000000"/>
        </w:rPr>
      </w:pPr>
    </w:p>
    <w:p>
      <w:pPr>
        <w:rPr>
          <w:rFonts w:hint="eastAsia" w:ascii="Times New Roman" w:hAnsi="Times New Roman" w:eastAsia="仿宋_GB2312" w:cs="仿宋_GB2312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Times New Roman" w:hAnsi="Times New Roman" w:eastAsia="仿宋_GB2312" w:cs="仿宋_GB2312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仿宋_GB2312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 w:ascii="Times New Roman" w:hAnsi="Times New Roman" w:eastAsia="仿宋_GB2312" w:cs="仿宋_GB2312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320" w:firstLineChars="100"/>
        <w:textAlignment w:val="auto"/>
        <w:outlineLvl w:val="9"/>
        <w:rPr>
          <w:rFonts w:hint="eastAsia" w:ascii="Times New Roman" w:hAnsi="Times New Roman" w:eastAsia="仿宋_GB2312" w:cs="仿宋_GB2312"/>
          <w:color w:val="000000"/>
        </w:rPr>
      </w:pPr>
    </w:p>
    <w:p>
      <w:pPr>
        <w:jc w:val="both"/>
        <w:rPr>
          <w:rFonts w:hint="eastAsia" w:ascii="Times New Roman" w:hAnsi="Times New Roman" w:eastAsia="仿宋_GB2312" w:cs="仿宋_GB2312"/>
          <w:color w:val="000000"/>
        </w:rPr>
      </w:pPr>
    </w:p>
    <w:p>
      <w:pPr>
        <w:jc w:val="both"/>
        <w:rPr>
          <w:rFonts w:hint="eastAsia" w:ascii="Times New Roman" w:hAnsi="Times New Roman" w:eastAsia="仿宋_GB2312" w:cs="仿宋_GB2312"/>
          <w:color w:val="000000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</w:rPr>
        <w:t>三民文</w:t>
      </w:r>
      <w:r>
        <w:rPr>
          <w:rFonts w:hint="eastAsia" w:ascii="Times New Roman" w:hAnsi="Times New Roman" w:eastAsia="仿宋_GB2312"/>
          <w:color w:val="000000"/>
        </w:rPr>
        <w:t>〔20</w:t>
      </w:r>
      <w:r>
        <w:rPr>
          <w:rFonts w:hint="eastAsia" w:ascii="Times New Roman" w:hAnsi="Times New Roman" w:eastAsia="仿宋_GB2312"/>
          <w:color w:val="000000"/>
          <w:lang w:val="en-US" w:eastAsia="zh-CN"/>
        </w:rPr>
        <w:t>22</w:t>
      </w:r>
      <w:r>
        <w:rPr>
          <w:rFonts w:hint="eastAsia" w:ascii="Times New Roman" w:hAnsi="Times New Roman" w:eastAsia="仿宋_GB2312"/>
          <w:color w:val="000000"/>
        </w:rPr>
        <w:t>〕</w:t>
      </w:r>
      <w:r>
        <w:rPr>
          <w:rFonts w:hint="eastAsia" w:ascii="Times New Roman" w:hAnsi="Times New Roman" w:eastAsia="仿宋_GB2312"/>
          <w:color w:val="000000"/>
          <w:lang w:val="en-US" w:eastAsia="zh-CN"/>
        </w:rPr>
        <w:t>22</w:t>
      </w:r>
      <w:r>
        <w:rPr>
          <w:rFonts w:hint="eastAsia" w:ascii="Times New Roman" w:hAnsi="Times New Roman" w:eastAsia="仿宋_GB2312" w:cs="仿宋_GB2312"/>
          <w:color w:val="000000"/>
        </w:rPr>
        <w:t>号</w:t>
      </w:r>
      <w:r>
        <w:rPr>
          <w:rFonts w:hint="eastAsia" w:ascii="Times New Roman" w:hAnsi="Times New Roman" w:eastAsia="仿宋_GB2312" w:cs="仿宋_GB2312"/>
          <w:color w:val="000000"/>
          <w:lang w:val="en-US" w:eastAsia="zh-CN"/>
        </w:rPr>
        <w:t xml:space="preserve">                     签发人：</w:t>
      </w:r>
      <w:r>
        <w:rPr>
          <w:rFonts w:hint="eastAsia" w:ascii="仿宋_GB2312" w:hAnsi="仿宋_GB2312" w:eastAsia="仿宋_GB2312" w:cs="仿宋_GB2312"/>
          <w:color w:val="000000"/>
          <w:lang w:val="en-US" w:eastAsia="zh-CN"/>
        </w:rPr>
        <w:t>李立明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lang w:val="en-US" w:eastAsia="zh-CN"/>
        </w:rPr>
        <w:t xml:space="preserve">                                        办理结果：A</w:t>
      </w:r>
    </w:p>
    <w:p>
      <w:pPr>
        <w:pStyle w:val="9"/>
        <w:rPr>
          <w:rFonts w:hint="default" w:ascii="Times New Roman" w:hAnsi="Times New Roman"/>
          <w:lang w:val="en-US" w:eastAsia="zh-CN"/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对政协七届七次会议第59号提案《关于建立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w w:val="100"/>
          <w:kern w:val="0"/>
          <w:sz w:val="44"/>
          <w:szCs w:val="44"/>
          <w:shd w:val="clear" w:color="auto" w:fill="auto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农村普惠性兜底养老服务体系的提案》的答复</w:t>
      </w:r>
    </w:p>
    <w:p>
      <w:pPr>
        <w:pageBreakBefore w:val="0"/>
        <w:kinsoku/>
        <w:wordWrap/>
        <w:overflowPunct/>
        <w:topLinePunct w:val="0"/>
        <w:bidi w:val="0"/>
        <w:snapToGrid/>
        <w:spacing w:beforeAutospacing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>
      <w:pPr>
        <w:pageBreakBefore w:val="0"/>
        <w:kinsoku/>
        <w:wordWrap/>
        <w:overflowPunct/>
        <w:topLinePunct w:val="0"/>
        <w:bidi w:val="0"/>
        <w:snapToGrid/>
        <w:spacing w:beforeAutospacing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民建市委：</w:t>
      </w:r>
    </w:p>
    <w:p>
      <w:pPr>
        <w:pStyle w:val="14"/>
        <w:pageBreakBefore w:val="0"/>
        <w:kinsoku/>
        <w:wordWrap/>
        <w:overflowPunct/>
        <w:topLinePunct w:val="0"/>
        <w:bidi w:val="0"/>
        <w:snapToGrid/>
        <w:spacing w:beforeAutospacing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您提出的“关于建立农村普惠性兜底养老服务体系的提案”收悉，现答复如下：</w:t>
      </w:r>
    </w:p>
    <w:p>
      <w:pPr>
        <w:pStyle w:val="14"/>
        <w:pageBreakBefore w:val="0"/>
        <w:kinsoku/>
        <w:wordWrap/>
        <w:overflowPunct/>
        <w:topLinePunct w:val="0"/>
        <w:bidi w:val="0"/>
        <w:snapToGrid/>
        <w:spacing w:beforeAutospacing="0" w:line="600" w:lineRule="exact"/>
        <w:ind w:left="0" w:leftChars="0"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据统计，随着人口老龄化的不断加深，全市农村留守老人已达到1.3万余人，农村留守老人生活、就医、照料等存在着不同程度的困难和问题。为了解决农村留守老人问题，建立农村普惠性兜底养老服务体系，各级党委、政府高度重视，民政部、公安部等9部门联合下发了《关于加强农村留守老年人关爱服务工作的意见》民发[2017]193号文件，省民政厅、市民政局转发了民政部通知，对农村留守老年人关爱服务工作提出了具体的要求，各级民政部门开展了农村留守老年人调查摸底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shd w:val="clear" w:color="auto" w:fill="FFFFFF"/>
        </w:rPr>
        <w:t>建立台账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推动农村幸福院建设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健全“一对一”结对帮扶机制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等工作，探索开展了农村幸福院集中就餐、结对帮扶、定期探访等农村留守老年人关爱服务工作，一定程度上解决了农村留守老年人的生活问题，同时也不断建立健全了农村普惠性兜底养老服务体系。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line="600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提高高龄补贴标准，扩大高龄农村老人的受益人员范围。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line="600" w:lineRule="exact"/>
        <w:jc w:val="left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我市在大部分地市还没有发放高龄补贴的情况下，率先行动，于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2017年制订了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《三门峡市人民政府关于加快发展养老服务业的实施意见》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80岁以上老人落实高龄补贴政策，具体标准是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80—89周岁的老人每人每月发放50元，90—99周岁的老人每人每月发放100元，100周岁以上高龄老年人每人每月发放200元。从2017年执行。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2018年，市民政局对此项工作进行重点督导，截止2018年年底，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大部分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县（市、区）政府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积极筹措资金，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上述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高龄津贴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列入预算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。今年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以来，我市市委、政府主要领导对高龄津贴工作高度重视，市政府将高龄津贴列入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民生实事，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并将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100岁以上老人补贴标准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每人每月发放200元高龄补贴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提高至每人每月发放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300元。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Autospacing="0" w:line="600" w:lineRule="exact"/>
        <w:ind w:left="0" w:leftChars="0" w:firstLine="42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ab/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二、加强农村养老服务设施建设，解决部分农村留守老人生活问题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切实加强农村敬老院建设，建成敬老院69家，床位4309张；支持敬老院开展社会化收养服务。依托村“两委”，促进农村幸福院建设，目前全市建成农村幸福院170家，床位1165张。向具有示范作用的农村幸福院发放以奖代补资金6万元。经过积极探索，总结了多种适合实际的农村幸福院模式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一是集中居住、自主伙食、互助养老的办院模式。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该模式适合村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体经济较好，建筑面积大，居住宽敞，能够独立做饭的农村幸福院，例如我市陕县郭家村筹资近百万元，将原有闲置校舍进行修缮，现入住老人86人，每户有独立厨房，并在院内开设大锅灶台供大家共用，电费、服务人员工资等公共支出费用由村集体负担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二是集中供养、统一食宿、适当收费、村集体经济补贴的办院模式。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这一模式受到山区居住分散、居住条件较差、经济薄弱的农村老年人欢迎。由于山区老年人居住分散或为留守老人，居住条件差，有到农村幸福院居住的愿望，统一食宿的费用需要适当收费、村集体补助共同支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三是集中活动、集体娱乐休闲的办院模式。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城郊、乡镇附近的村，老人居住条件较好，没有必要集中居住，采取在文化大院等设施的基础上开展为老服务，活跃老年人文化，丰富老年人精神生活。四是借助拆迁异地安置等有利因素新建农村幸福院模式。例如个别村依据拆迁异地安置的情况，规划设计老年人集中居住安置区，建筑面积大，建设周期较长，惠及老年人数多。通过以点带面、示范引领，加快推动农村养老服务工作。能够集中居住的农村幸福院优先安排贫困、留守老人居住，市民政局、市财政局对运营好的农村幸福院进行资助。</w:t>
      </w:r>
    </w:p>
    <w:p>
      <w:pPr>
        <w:pageBreakBefore w:val="0"/>
        <w:tabs>
          <w:tab w:val="left" w:pos="630"/>
          <w:tab w:val="left" w:pos="1050"/>
          <w:tab w:val="left" w:pos="1260"/>
        </w:tabs>
        <w:kinsoku/>
        <w:wordWrap/>
        <w:overflowPunct/>
        <w:topLinePunct w:val="0"/>
        <w:bidi w:val="0"/>
        <w:snapToGrid/>
        <w:spacing w:beforeAutospacing="0"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三、开展多种形式养老助老服务。</w:t>
      </w:r>
      <w:r>
        <w:rPr>
          <w:rFonts w:hint="eastAsia" w:ascii="仿宋_GB2312" w:eastAsia="仿宋_GB2312"/>
          <w:sz w:val="32"/>
          <w:szCs w:val="32"/>
        </w:rPr>
        <w:t>落实工作责任，明确各包村工作组和村两委加强留守老人的管理服务要求，健全村两委干部、党员联系帮扶农村留守老人长效机制，全市建立结对帮扶留守老人740人，要求村两委干部、党员广泛动员，认真选择有意愿、负责任的家庭采取灵活的形式，组建关爱农村家庭互助队伍，关心照料留守老人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农村基层组织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  <w:t>开展形式多样的老年人娱乐活动的同时，持续开展“孝亲敬老”、“好儿媳、好子女”等评选表彰活动，弘扬正气，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对孝敬老人的典型应予以表扬，对不履行孝道的予以批评教育，从而形成敬老爱老的社会风尚。</w:t>
      </w:r>
      <w:r>
        <w:rPr>
          <w:rFonts w:hint="eastAsia" w:ascii="仿宋_GB2312" w:eastAsia="仿宋_GB2312"/>
          <w:sz w:val="32"/>
          <w:szCs w:val="32"/>
        </w:rPr>
        <w:t>及时将符合条件的农村留守老人纳入农村低保、医疗救助、临时救助等社会救助保障范围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snapToGrid/>
        <w:spacing w:beforeAutospacing="0"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w w:val="100"/>
          <w:kern w:val="2"/>
          <w:position w:val="0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四、加强农村养老服务队伍建设。</w:t>
      </w:r>
      <w:r>
        <w:rPr>
          <w:rFonts w:hint="eastAsia" w:ascii="仿宋_GB2312" w:hAnsi="仿宋_GB2312" w:eastAsia="仿宋_GB2312" w:cs="仿宋_GB2312"/>
          <w:color w:val="auto"/>
          <w:w w:val="100"/>
          <w:kern w:val="2"/>
          <w:position w:val="0"/>
          <w:sz w:val="32"/>
          <w:szCs w:val="32"/>
          <w:highlight w:val="none"/>
          <w:shd w:val="clear" w:color="auto" w:fill="auto"/>
          <w:lang w:val="en-US" w:eastAsia="zh-CN" w:bidi="ar-SA"/>
        </w:rPr>
        <w:t>我市高度重视养老服务人才的培养，下发了《关于落实“人人持证、技能河南”建设目标任务加强养老服务人才队伍建设工作方案》。截至目前，培训养老护理员1703人，新增养老技能人才331人，新增养老高技能人才54人，分别完成市定目标任务的1548.18%、551.67%、270%，新增备案企业3家。8月9日至11日，在三门峡社会管理学院举办了全市养老护理职业技能大赛，出台了含金量极高的奖项设置政策，评选出16名选手获得奖项。</w:t>
      </w:r>
    </w:p>
    <w:p>
      <w:pPr>
        <w:pageBreakBefore w:val="0"/>
        <w:tabs>
          <w:tab w:val="left" w:pos="996"/>
        </w:tabs>
        <w:kinsoku/>
        <w:wordWrap/>
        <w:overflowPunct/>
        <w:topLinePunct w:val="0"/>
        <w:bidi w:val="0"/>
        <w:snapToGrid/>
        <w:spacing w:beforeAutospacing="0" w:line="60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下一步，我们将在市委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市政府的正确领导下，加大农村幸福院等养老服务设施建设力度，采取措施鼓励敬老院收住农村留守老人，学习借鉴外地先进经验，采取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三个一部分的工作办法，就是政府补贴一部分、集体拿出一部分，村里能人和慈善机构捐献一部分，解决农村养老服务设施的建设和长期运营经费不足问题，为农村留守老人提供有针对性的服务，建立健全农村普惠性兜底养老服务体系。</w:t>
      </w:r>
    </w:p>
    <w:p>
      <w:pPr>
        <w:pStyle w:val="8"/>
        <w:pageBreakBefore w:val="0"/>
        <w:kinsoku/>
        <w:wordWrap/>
        <w:overflowPunct/>
        <w:topLinePunct w:val="0"/>
        <w:bidi w:val="0"/>
        <w:snapToGrid/>
        <w:spacing w:before="0" w:beforeAutospacing="0" w:after="0" w:afterAutospacing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最后，感谢您对我市养老事业的关心和支持，并希望您在以后的工作中多给我们提供宝贵意见。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4800" w:firstLineChars="15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4800" w:firstLineChars="15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5440" w:firstLineChars="1700"/>
        <w:textAlignment w:val="auto"/>
        <w:rPr>
          <w:rFonts w:hint="default" w:ascii="仿宋_GB2312" w:hAnsi="仿宋_GB2312" w:eastAsia="仿宋_GB2312" w:cs="仿宋_GB2312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2022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9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25</w:t>
      </w:r>
      <w:r>
        <w:rPr>
          <w:rFonts w:hint="default" w:ascii="仿宋_GB2312" w:hAnsi="仿宋_GB2312" w:eastAsia="仿宋_GB2312" w:cs="仿宋_GB2312"/>
          <w:bCs/>
          <w:sz w:val="32"/>
          <w:szCs w:val="32"/>
          <w:lang w:eastAsia="zh-CN"/>
        </w:rPr>
        <w:t>日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600" w:lineRule="exact"/>
        <w:ind w:left="0" w:leftChars="0"/>
        <w:jc w:val="both"/>
        <w:textAlignment w:val="auto"/>
        <w:rPr>
          <w:rFonts w:hint="eastAsia" w:ascii="Times New Roman" w:hAnsi="Times New Roman" w:eastAsia="仿宋" w:cs="仿宋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/>
        <w:jc w:val="left"/>
        <w:textAlignment w:val="auto"/>
        <w:rPr>
          <w:rFonts w:hint="default" w:ascii="Times New Roman" w:hAnsi="Times New Roman" w:eastAsia="仿宋_GB2312"/>
          <w:sz w:val="32"/>
          <w:lang w:val="en-US"/>
        </w:rPr>
      </w:pPr>
      <w:r>
        <w:rPr>
          <w:rFonts w:hint="eastAsia" w:ascii="Times New Roman" w:hAnsi="Times New Roman" w:eastAsia="仿宋_GB2312"/>
          <w:sz w:val="32"/>
        </w:rPr>
        <w:t xml:space="preserve"> </w:t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仿宋_GB2312"/>
          <w:bCs/>
          <w:sz w:val="32"/>
          <w:szCs w:val="32"/>
          <w:lang w:eastAsia="zh-CN"/>
        </w:rPr>
        <w:t>联系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部门及电话</w:t>
      </w:r>
      <w:r>
        <w:rPr>
          <w:rFonts w:hint="default" w:ascii="Times New Roman" w:hAnsi="Times New Roman" w:eastAsia="仿宋_GB2312" w:cs="仿宋_GB2312"/>
          <w:bCs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sz w:val="32"/>
          <w:lang w:eastAsia="zh-CN"/>
        </w:rPr>
        <w:t>市民政养老服务科</w:t>
      </w:r>
      <w:r>
        <w:rPr>
          <w:rFonts w:hint="eastAsia" w:ascii="Times New Roman" w:hAnsi="Times New Roman" w:eastAsia="仿宋_GB2312"/>
          <w:sz w:val="32"/>
        </w:rPr>
        <w:t xml:space="preserve"> </w:t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0398-2182029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/>
        <w:jc w:val="left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 xml:space="preserve"> </w:t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sz w:val="32"/>
        </w:rPr>
        <w:t>联系人：</w:t>
      </w:r>
      <w:r>
        <w:rPr>
          <w:rFonts w:hint="eastAsia" w:ascii="Times New Roman" w:hAnsi="Times New Roman" w:eastAsia="仿宋_GB2312"/>
          <w:sz w:val="32"/>
          <w:lang w:eastAsia="zh-CN"/>
        </w:rPr>
        <w:t>姚</w:t>
      </w:r>
      <w:r>
        <w:rPr>
          <w:rFonts w:hint="eastAsia" w:ascii="Times New Roman" w:hAnsi="Times New Roman" w:eastAsia="仿宋_GB2312"/>
          <w:sz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lang w:eastAsia="zh-CN"/>
        </w:rPr>
        <w:t>成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line="600" w:lineRule="exact"/>
        <w:ind w:left="0" w:leftChars="0" w:firstLine="0" w:firstLineChars="0"/>
        <w:textAlignment w:val="auto"/>
        <w:rPr>
          <w:rFonts w:hint="eastAsia" w:ascii="Times New Roman" w:hAnsi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/>
        <w:textAlignment w:val="auto"/>
        <w:rPr>
          <w:rFonts w:hint="eastAsia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Lines="0" w:line="600" w:lineRule="exact"/>
        <w:ind w:left="0" w:leftChars="0"/>
        <w:textAlignment w:val="auto"/>
        <w:rPr>
          <w:rFonts w:hint="eastAsia"/>
          <w:lang w:val="en-US" w:eastAsia="zh-CN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600" w:lineRule="exact"/>
        <w:ind w:left="0" w:left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/>
        <w:textAlignment w:val="auto"/>
        <w:rPr>
          <w:rFonts w:hint="eastAsia" w:ascii="Times New Roman" w:hAnsi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/>
        <w:textAlignment w:val="auto"/>
        <w:rPr>
          <w:rFonts w:hint="eastAsia" w:ascii="Times New Roman" w:hAnsi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/>
        <w:textAlignment w:val="auto"/>
        <w:rPr>
          <w:rFonts w:hint="eastAsia" w:ascii="Times New Roman" w:hAnsi="Times New Roman"/>
          <w:color w:val="000000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/>
        <w:textAlignment w:val="auto"/>
        <w:rPr>
          <w:rFonts w:hint="eastAsia" w:ascii="Times New Roman" w:hAnsi="Times New Roman"/>
          <w:color w:val="000000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/>
        <w:textAlignment w:val="auto"/>
        <w:rPr>
          <w:rFonts w:hint="eastAsia" w:ascii="Times New Roman" w:hAnsi="Times New Roman"/>
          <w:color w:val="000000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0" w:firstLineChars="0"/>
        <w:textAlignment w:val="auto"/>
        <w:rPr>
          <w:rFonts w:hint="eastAsia" w:ascii="Times New Roman" w:hAnsi="Times New Roman"/>
          <w:color w:val="000000"/>
        </w:rPr>
        <w:sectPr>
          <w:footerReference r:id="rId3" w:type="default"/>
          <w:pgSz w:w="11906" w:h="16838"/>
          <w:pgMar w:top="2098" w:right="1531" w:bottom="1420" w:left="1531" w:header="851" w:footer="1418" w:gutter="0"/>
          <w:pgNumType w:fmt="decimal"/>
          <w:cols w:space="720" w:num="1"/>
          <w:docGrid w:linePitch="579" w:charSpace="-425"/>
        </w:sect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left="0" w:leftChars="0" w:firstLine="0" w:firstLineChars="0"/>
        <w:textAlignment w:val="auto"/>
        <w:rPr>
          <w:rFonts w:hint="eastAsia" w:ascii="Times New Roman" w:hAnsi="Times New Roman"/>
          <w:color w:val="000000"/>
        </w:rPr>
      </w:pPr>
    </w:p>
    <w:p>
      <w:pPr>
        <w:pStyle w:val="2"/>
        <w:pageBreakBefore w:val="0"/>
        <w:kinsoku/>
        <w:overflowPunct/>
        <w:topLinePunct w:val="0"/>
        <w:bidi w:val="0"/>
        <w:snapToGrid/>
        <w:spacing w:beforeAutospacing="0" w:line="600" w:lineRule="exact"/>
        <w:ind w:left="0" w:leftChars="0"/>
        <w:textAlignment w:val="auto"/>
        <w:rPr>
          <w:rFonts w:hint="eastAsia" w:ascii="Times New Roman" w:hAnsi="Times New Roman"/>
          <w:color w:val="000000"/>
        </w:rPr>
      </w:pPr>
    </w:p>
    <w:p>
      <w:pPr>
        <w:pStyle w:val="2"/>
        <w:pageBreakBefore w:val="0"/>
        <w:kinsoku/>
        <w:overflowPunct/>
        <w:topLinePunct w:val="0"/>
        <w:bidi w:val="0"/>
        <w:snapToGrid/>
        <w:spacing w:beforeAutospacing="0" w:line="600" w:lineRule="exact"/>
        <w:ind w:left="0" w:leftChars="0"/>
        <w:textAlignment w:val="auto"/>
        <w:rPr>
          <w:rFonts w:hint="eastAsia" w:ascii="Times New Roman" w:hAnsi="Times New Roman"/>
          <w:color w:val="000000"/>
        </w:rPr>
      </w:pPr>
    </w:p>
    <w:p>
      <w:pPr>
        <w:pStyle w:val="2"/>
        <w:pageBreakBefore w:val="0"/>
        <w:kinsoku/>
        <w:overflowPunct/>
        <w:topLinePunct w:val="0"/>
        <w:bidi w:val="0"/>
        <w:snapToGrid/>
        <w:spacing w:beforeAutospacing="0" w:line="600" w:lineRule="exact"/>
        <w:ind w:left="0" w:leftChars="0"/>
        <w:textAlignment w:val="auto"/>
        <w:rPr>
          <w:rFonts w:hint="eastAsia" w:ascii="Times New Roman" w:hAnsi="Times New Roman"/>
          <w:color w:val="000000"/>
        </w:rPr>
      </w:pPr>
    </w:p>
    <w:p>
      <w:pPr>
        <w:pStyle w:val="2"/>
        <w:pageBreakBefore w:val="0"/>
        <w:kinsoku/>
        <w:overflowPunct/>
        <w:topLinePunct w:val="0"/>
        <w:bidi w:val="0"/>
        <w:snapToGrid/>
        <w:spacing w:beforeAutospacing="0" w:line="600" w:lineRule="exact"/>
        <w:ind w:left="0" w:leftChars="0"/>
        <w:textAlignment w:val="auto"/>
        <w:rPr>
          <w:rFonts w:hint="eastAsia" w:ascii="Times New Roman" w:hAnsi="Times New Roman"/>
          <w:color w:val="000000"/>
        </w:rPr>
      </w:pPr>
    </w:p>
    <w:p>
      <w:pPr>
        <w:pStyle w:val="2"/>
        <w:pageBreakBefore w:val="0"/>
        <w:kinsoku/>
        <w:overflowPunct/>
        <w:topLinePunct w:val="0"/>
        <w:bidi w:val="0"/>
        <w:snapToGrid/>
        <w:spacing w:beforeAutospacing="0" w:line="600" w:lineRule="exact"/>
        <w:ind w:left="0" w:leftChars="0"/>
        <w:textAlignment w:val="auto"/>
        <w:rPr>
          <w:rFonts w:hint="eastAsia" w:ascii="Times New Roman" w:hAnsi="Times New Roman"/>
          <w:color w:val="000000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color w:val="000000"/>
        </w:rPr>
      </w:pPr>
    </w:p>
    <w:p>
      <w:pPr>
        <w:pStyle w:val="2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/>
          <w:color w:val="000000"/>
        </w:rPr>
      </w:pPr>
      <w:r>
        <w:rPr>
          <w:rFonts w:ascii="Times New Roman" w:hAnsi="Times New Roman" w:eastAsia="Times New Roman"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248920</wp:posOffset>
                </wp:positionV>
                <wp:extent cx="561086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86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9.6pt;height:0.05pt;width:441.8pt;z-index:251660288;mso-width-relative:page;mso-height-relative:page;" filled="f" stroked="t" coordsize="21600,21600" o:gfxdata="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BW9TG1QAAAAYBAAAPAAAAAAAAAAEAIAAAACIAAABkcnMvZG93bnJldi54bWxQSwECFAAU&#10;AAAACACHTuJApgEAavQBAADm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Times New Roman" w:hAnsi="Times New Roman" w:eastAsia="仿宋_GB2312" w:cs="仿宋_GB2312"/>
          <w:color w:val="000000"/>
          <w:sz w:val="28"/>
          <w:szCs w:val="28"/>
          <w:lang w:eastAsia="zh-CN"/>
        </w:rPr>
      </w:pPr>
      <w:r>
        <w:rPr>
          <w:rFonts w:ascii="Times New Roman" w:hAnsi="Times New Roman" w:eastAsia="Times New Roman"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282575</wp:posOffset>
                </wp:positionV>
                <wp:extent cx="560133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133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2.25pt;height:0.05pt;width:441.05pt;z-index:251661312;mso-width-relative:page;mso-height-relative:page;" filled="f" stroked="t" coordsize="21600,21600" o:gfxdata="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O32WM1QAAAAYBAAAPAAAAAAAAAAEAIAAAACIAAABkcnMvZG93bnJldi54bWxQSwECFAAU&#10;AAAACACHTuJAInUfsfQBAADmAwAADgAAAAAAAAABACAAAAAk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/>
          <w:color w:val="000000"/>
        </w:rPr>
        <w:t>　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 xml:space="preserve">三门峡市民政局办公室 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 xml:space="preserve">                 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20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22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val="en-US" w:eastAsia="zh-CN"/>
        </w:rPr>
        <w:t>25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日印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eastAsia="zh-CN"/>
        </w:rPr>
        <w:t>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Times New Roman" w:hAnsi="Times New Roman" w:eastAsia="仿宋_GB2312" w:cs="仿宋_GB2312"/>
          <w:color w:val="000000"/>
          <w:sz w:val="28"/>
          <w:szCs w:val="28"/>
          <w:lang w:eastAsia="zh-CN"/>
        </w:rPr>
      </w:pPr>
    </w:p>
    <w:p>
      <w:pPr>
        <w:rPr>
          <w:rFonts w:hint="default"/>
          <w:lang w:val="en-US"/>
        </w:rPr>
      </w:pPr>
      <w:r>
        <w:rPr>
          <w:rFonts w:hint="eastAsia" w:ascii="Times New Roman" w:hAnsi="Times New Roman"/>
          <w:color w:val="000000"/>
          <w:sz w:val="32"/>
          <w:lang w:val="en-US" w:eastAsia="zh-CN"/>
        </w:rPr>
        <w:t xml:space="preserve">                                     </w:t>
      </w:r>
      <w:r>
        <w:rPr>
          <w:rFonts w:hint="default"/>
          <w:lang w:val="en-US"/>
        </w:rPr>
        <w:drawing>
          <wp:inline distT="0" distB="0" distL="114300" distR="114300">
            <wp:extent cx="1790700" cy="476250"/>
            <wp:effectExtent l="0" t="0" r="0" b="0"/>
            <wp:docPr id="3" name="图片 3" descr="三民文〔2022〕22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三民文〔2022〕22号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footerReference r:id="rId4" w:type="default"/>
          <w:pgSz w:w="11906" w:h="16838"/>
          <w:pgMar w:top="2098" w:right="1531" w:bottom="1420" w:left="1531" w:header="851" w:footer="1418" w:gutter="0"/>
          <w:pgNumType w:fmt="decimal"/>
          <w:cols w:space="720" w:num="1"/>
          <w:docGrid w:linePitch="579" w:charSpace="-425"/>
        </w:sectPr>
      </w:pPr>
    </w:p>
    <w:p>
      <w:pPr>
        <w:pStyle w:val="2"/>
      </w:pPr>
    </w:p>
    <w:sectPr>
      <w:footerReference r:id="rId5" w:type="default"/>
      <w:pgSz w:w="11906" w:h="16838"/>
      <w:pgMar w:top="2098" w:right="1531" w:bottom="1420" w:left="1531" w:header="851" w:footer="1418" w:gutter="0"/>
      <w:pgNumType w:fmt="decimal"/>
      <w:cols w:space="720" w:num="1"/>
      <w:docGrid w:linePitch="579" w:charSpace="-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1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230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230"/>
        <w:tab w:val="clear" w:pos="4153"/>
      </w:tabs>
    </w:pP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230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580693"/>
    <w:multiLevelType w:val="singleLevel"/>
    <w:tmpl w:val="C058069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16DE1"/>
    <w:rsid w:val="01083F2C"/>
    <w:rsid w:val="06DD5671"/>
    <w:rsid w:val="076D3EE9"/>
    <w:rsid w:val="0EA36293"/>
    <w:rsid w:val="0FB16DE1"/>
    <w:rsid w:val="15FD3F1D"/>
    <w:rsid w:val="16974827"/>
    <w:rsid w:val="2F155C0A"/>
    <w:rsid w:val="4034153D"/>
    <w:rsid w:val="66DC4E31"/>
    <w:rsid w:val="714C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152" w:semiHidden="0" w:name="Body Text First Indent"/>
    <w:lsdException w:qFormat="1" w:unhideWhenUsed="0"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spacing w:line="660" w:lineRule="exact"/>
      <w:ind w:firstLine="720" w:firstLineChars="200"/>
    </w:pPr>
    <w:rPr>
      <w:rFonts w:ascii="Times New Roman" w:hAnsi="Times New Roman" w:eastAsia="楷体_GB2312"/>
      <w:sz w:val="36"/>
      <w:szCs w:val="36"/>
    </w:rPr>
  </w:style>
  <w:style w:type="paragraph" w:styleId="4">
    <w:name w:val="Body Text"/>
    <w:basedOn w:val="1"/>
    <w:next w:val="1"/>
    <w:qFormat/>
    <w:uiPriority w:val="0"/>
    <w:pPr>
      <w:spacing w:after="120" w:afterLines="0"/>
    </w:pPr>
  </w:style>
  <w:style w:type="paragraph" w:styleId="5">
    <w:name w:val="Body Text Indent"/>
    <w:basedOn w:val="1"/>
    <w:next w:val="1"/>
    <w:qFormat/>
    <w:uiPriority w:val="0"/>
    <w:pPr>
      <w:ind w:firstLine="627" w:firstLineChars="196"/>
    </w:pPr>
    <w:rPr>
      <w:rFonts w:eastAsia="仿宋_GB231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微软雅黑" w:hAnsi="微软雅黑" w:eastAsia="微软雅黑" w:cs="微软雅黑"/>
      <w:kern w:val="0"/>
      <w:sz w:val="24"/>
      <w:u w:val="none"/>
      <w:lang w:val="en-US" w:eastAsia="zh-CN" w:bidi="ar"/>
    </w:rPr>
  </w:style>
  <w:style w:type="paragraph" w:styleId="9">
    <w:name w:val="Body Text First Indent"/>
    <w:basedOn w:val="4"/>
    <w:next w:val="10"/>
    <w:qFormat/>
    <w:uiPriority w:val="152"/>
    <w:pPr>
      <w:widowControl/>
      <w:wordWrap/>
      <w:autoSpaceDE/>
      <w:autoSpaceDN/>
      <w:ind w:firstLine="420"/>
      <w:jc w:val="both"/>
    </w:pPr>
    <w:rPr>
      <w:rFonts w:ascii="宋体" w:hAnsi="宋体" w:eastAsia="宋体" w:cs="Times New Roman"/>
      <w:w w:val="100"/>
      <w:kern w:val="2"/>
      <w:sz w:val="20"/>
      <w:szCs w:val="20"/>
      <w:shd w:val="clear" w:color="auto" w:fill="auto"/>
      <w:lang w:val="en-US" w:eastAsia="zh-CN" w:bidi="ar-SA"/>
    </w:rPr>
  </w:style>
  <w:style w:type="paragraph" w:styleId="10">
    <w:name w:val="Body Text First Indent 2"/>
    <w:basedOn w:val="5"/>
    <w:next w:val="9"/>
    <w:semiHidden/>
    <w:qFormat/>
    <w:uiPriority w:val="0"/>
    <w:pPr>
      <w:widowControl w:val="0"/>
      <w:spacing w:before="100" w:beforeAutospacing="1" w:after="120" w:line="360" w:lineRule="auto"/>
      <w:ind w:left="420" w:leftChars="200" w:firstLine="420"/>
      <w:jc w:val="both"/>
    </w:pPr>
    <w:rPr>
      <w:rFonts w:ascii="Calibri" w:hAnsi="Calibri" w:eastAsia="Arial Unicode MS" w:cs="Arial Unicode MS"/>
      <w:color w:val="000000"/>
      <w:kern w:val="2"/>
      <w:sz w:val="21"/>
      <w:szCs w:val="24"/>
      <w:u w:val="none" w:color="000000"/>
      <w:lang w:val="en-US" w:eastAsia="zh-CN" w:bidi="ar-SA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Calibri" w:eastAsia="仿宋_GB2312" w:cs="Times New Roman"/>
      <w:color w:val="000000"/>
      <w:sz w:val="24"/>
      <w:szCs w:val="22"/>
      <w:lang w:val="en-US" w:eastAsia="zh-CN" w:bidi="ar-SA"/>
    </w:rPr>
  </w:style>
  <w:style w:type="paragraph" w:customStyle="1" w:styleId="1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2022-09-28T07:51:00Z</dcterms:created>
  <dc:creator>Administrator</dc:creator>
  <cp:lastModifiedBy>Administrator</cp:lastModifiedBy>
  <cp:lastPrinted>2022-09-29T01:53:12Z</cp:lastPrinted>
  <dcterms:modified xsi:type="dcterms:W3CDTF">2022-09-29T02:39:24Z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78D40093C4EA4FDB97DFCF647D2C85F3</vt:lpwstr>
  </property>
</Properties>
</file>