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关于加强有色金属企业引进工作的建议</w:t>
      </w:r>
    </w:p>
    <w:p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</w:p>
    <w:p>
      <w:p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提案人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纪新平</w:t>
      </w:r>
    </w:p>
    <w:p>
      <w:pPr>
        <w:spacing w:line="360" w:lineRule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联系电话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13835981758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由：</w:t>
      </w:r>
    </w:p>
    <w:p>
      <w:pPr>
        <w:spacing w:line="360" w:lineRule="auto"/>
        <w:ind w:firstLine="56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我国是全球最大铜材生产国和消费国，铜材应用领域不断扩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展</w:t>
      </w:r>
      <w:r>
        <w:rPr>
          <w:rFonts w:hint="eastAsia" w:asciiTheme="minorEastAsia" w:hAnsiTheme="minorEastAsia"/>
          <w:sz w:val="28"/>
          <w:szCs w:val="28"/>
        </w:rPr>
        <w:t>，国产化水平不断提高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整个行业呈现出蓬勃发展的良好态势。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我市的有色金属资源在全国占有举足轻重的地位，为实现我市有色金属达千亿目标。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建议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numPr>
          <w:ilvl w:val="0"/>
          <w:numId w:val="0"/>
        </w:numPr>
        <w:spacing w:line="360" w:lineRule="auto"/>
        <w:ind w:firstLine="56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1.以</w:t>
      </w:r>
      <w:r>
        <w:rPr>
          <w:rFonts w:hint="eastAsia" w:asciiTheme="minorEastAsia" w:hAnsiTheme="minorEastAsia"/>
          <w:sz w:val="28"/>
          <w:szCs w:val="28"/>
        </w:rPr>
        <w:t>中原黄金冶炼厂</w:t>
      </w:r>
      <w:r>
        <w:rPr>
          <w:rFonts w:hint="eastAsia" w:eastAsia="宋体" w:asciiTheme="minorEastAsia" w:hAnsiTheme="minorEastAsia"/>
          <w:sz w:val="28"/>
          <w:szCs w:val="28"/>
          <w:lang w:eastAsia="zh-CN"/>
        </w:rPr>
        <w:t>为龙头</w:t>
      </w:r>
      <w:r>
        <w:rPr>
          <w:rFonts w:hint="eastAsia" w:asciiTheme="minorEastAsia" w:hAnsiTheme="minorEastAsia"/>
          <w:sz w:val="28"/>
          <w:szCs w:val="28"/>
        </w:rPr>
        <w:t>，发挥</w:t>
      </w:r>
      <w:r>
        <w:rPr>
          <w:rFonts w:hint="eastAsia" w:eastAsia="宋体" w:asciiTheme="minorEastAsia" w:hAnsiTheme="minorEastAsia"/>
          <w:sz w:val="28"/>
          <w:szCs w:val="28"/>
          <w:lang w:eastAsia="zh-CN"/>
        </w:rPr>
        <w:t>我市年产</w:t>
      </w:r>
      <w:r>
        <w:rPr>
          <w:rFonts w:hint="eastAsia" w:asciiTheme="minorEastAsia" w:hAnsiTheme="minorEastAsia"/>
          <w:sz w:val="28"/>
          <w:szCs w:val="28"/>
        </w:rPr>
        <w:t>50万吨</w:t>
      </w:r>
      <w:r>
        <w:rPr>
          <w:rFonts w:hint="eastAsia" w:eastAsia="宋体" w:asciiTheme="minorEastAsia" w:hAnsiTheme="minorEastAsia"/>
          <w:sz w:val="28"/>
          <w:szCs w:val="28"/>
          <w:lang w:eastAsia="zh-CN"/>
        </w:rPr>
        <w:t>阴极铜板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的资源优势，带动覆盖大、中、小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有色金属</w:t>
      </w:r>
      <w:r>
        <w:rPr>
          <w:rFonts w:hint="eastAsia" w:asciiTheme="minorEastAsia" w:hAnsiTheme="minorEastAsia"/>
          <w:sz w:val="28"/>
          <w:szCs w:val="28"/>
        </w:rPr>
        <w:t>企业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融通发展。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2.引导加大科技研发投入，</w:t>
      </w:r>
      <w:r>
        <w:rPr>
          <w:rFonts w:hint="eastAsia" w:asciiTheme="minorEastAsia" w:hAnsiTheme="minorEastAsia"/>
          <w:sz w:val="28"/>
          <w:szCs w:val="28"/>
        </w:rPr>
        <w:t>开发以铜为主的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铜基</w:t>
      </w:r>
      <w:r>
        <w:rPr>
          <w:rFonts w:hint="eastAsia" w:asciiTheme="minorEastAsia" w:hAnsiTheme="minorEastAsia"/>
          <w:sz w:val="28"/>
          <w:szCs w:val="28"/>
        </w:rPr>
        <w:t>新材料中高端产品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pStyle w:val="181"/>
        <w:numPr>
          <w:ilvl w:val="0"/>
          <w:numId w:val="0"/>
        </w:num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3.为支持企业健康发展，可以依托</w:t>
      </w:r>
      <w:r>
        <w:rPr>
          <w:rFonts w:hint="eastAsia" w:asciiTheme="minorEastAsia" w:hAnsiTheme="minorEastAsia"/>
          <w:sz w:val="28"/>
          <w:szCs w:val="28"/>
        </w:rPr>
        <w:t>中原黄金冶炼厂龙头企业地位，在原材料上提供一部分账期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政府、企业、银行合作设立基金账户。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同时，</w:t>
      </w:r>
      <w:r>
        <w:rPr>
          <w:rFonts w:hint="eastAsia" w:asciiTheme="minorEastAsia" w:hAnsiTheme="minorEastAsia"/>
          <w:sz w:val="28"/>
          <w:szCs w:val="28"/>
        </w:rPr>
        <w:t>货款统一回款指定的账户，进行多方监管，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化解</w:t>
      </w:r>
      <w:r>
        <w:rPr>
          <w:rFonts w:hint="eastAsia" w:asciiTheme="minorEastAsia" w:hAnsiTheme="minorEastAsia"/>
          <w:sz w:val="28"/>
          <w:szCs w:val="28"/>
        </w:rPr>
        <w:t>政府、企业、银行的资金投入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风险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/>
          <w:sz w:val="28"/>
          <w:szCs w:val="28"/>
        </w:rPr>
        <w:t>政府加大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对企业</w:t>
      </w:r>
      <w:r>
        <w:rPr>
          <w:rFonts w:hint="eastAsia" w:asciiTheme="minorEastAsia" w:hAnsiTheme="minorEastAsia"/>
          <w:sz w:val="28"/>
          <w:szCs w:val="28"/>
        </w:rPr>
        <w:t>的扶持力度，以此来吸引更多的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有色金属</w:t>
      </w:r>
      <w:r>
        <w:rPr>
          <w:rFonts w:hint="eastAsia" w:asciiTheme="minorEastAsia" w:hAnsiTheme="minorEastAsia"/>
          <w:sz w:val="28"/>
          <w:szCs w:val="28"/>
        </w:rPr>
        <w:t>企业来三门峡投资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形成千亿级规模。</w:t>
      </w:r>
    </w:p>
    <w:p>
      <w:pPr>
        <w:pStyle w:val="181"/>
        <w:numPr>
          <w:ilvl w:val="0"/>
          <w:numId w:val="0"/>
        </w:numPr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5.严把入驻企业质量关，提高产品的附加值和技术含量，</w:t>
      </w:r>
      <w:r>
        <w:rPr>
          <w:rFonts w:hint="eastAsia" w:asciiTheme="minorEastAsia" w:hAnsiTheme="minorEastAsia"/>
          <w:sz w:val="28"/>
          <w:szCs w:val="28"/>
        </w:rPr>
        <w:t>培养更多的专精特新企业，为三门峡市的经济腾飞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作</w:t>
      </w:r>
      <w:r>
        <w:rPr>
          <w:rFonts w:hint="eastAsia" w:asciiTheme="minorEastAsia" w:hAnsiTheme="minorEastAsia"/>
          <w:sz w:val="28"/>
          <w:szCs w:val="28"/>
        </w:rPr>
        <w:t>出贡献。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NGJlYTJmM2IwMjdlN2Y4NWJiMzA3MzJmYWFhODYifQ=="/>
  </w:docVars>
  <w:rsids>
    <w:rsidRoot w:val="00000000"/>
    <w:rsid w:val="12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4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5">
    <w:name w:val="Subtitle Char"/>
    <w:basedOn w:val="30"/>
    <w:link w:val="21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basedOn w:val="30"/>
    <w:link w:val="18"/>
    <w:qFormat/>
    <w:uiPriority w:val="99"/>
  </w:style>
  <w:style w:type="character" w:customStyle="1" w:styleId="51">
    <w:name w:val="Footer Char"/>
    <w:basedOn w:val="30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5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57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58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59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1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2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3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4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5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6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67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</w:style>
  <w:style w:type="table" w:customStyle="1" w:styleId="68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69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70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71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72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73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4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auto"/>
      </w:tcPr>
    </w:tblStylePr>
  </w:style>
  <w:style w:type="table" w:customStyle="1" w:styleId="75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76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77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78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79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80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1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auto"/>
      </w:tcPr>
    </w:tblStylePr>
  </w:style>
  <w:style w:type="table" w:customStyle="1" w:styleId="82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83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84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85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86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87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88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band1Vert">
      <w:tcPr>
        <w:shd w:val="clear" w:color="B3D1EB" w:themeColor="accent1" w:themeTint="75" w:fill="auto"/>
      </w:tcPr>
    </w:tblStylePr>
    <w:tblStylePr w:type="band1Horz">
      <w:tcPr>
        <w:shd w:val="clear" w:color="B3D1EB" w:themeColor="accent1" w:themeTint="75" w:fill="auto"/>
      </w:tcPr>
    </w:tblStylePr>
  </w:style>
  <w:style w:type="table" w:customStyle="1" w:styleId="89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band1Vert">
      <w:tcPr>
        <w:shd w:val="clear" w:color="F6C3A0" w:themeColor="accent2" w:themeTint="75" w:fill="auto"/>
      </w:tcPr>
    </w:tblStylePr>
    <w:tblStylePr w:type="band1Horz">
      <w:tcPr>
        <w:shd w:val="clear" w:color="F6C3A0" w:themeColor="accent2" w:themeTint="75" w:fill="auto"/>
      </w:tcPr>
    </w:tblStylePr>
  </w:style>
  <w:style w:type="table" w:customStyle="1" w:styleId="90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band1Vert">
      <w:tcPr>
        <w:shd w:val="clear" w:color="D5D5D5" w:themeColor="accent3" w:themeTint="75" w:fill="auto"/>
      </w:tcPr>
    </w:tblStylePr>
    <w:tblStylePr w:type="band1Horz">
      <w:tcPr>
        <w:shd w:val="clear" w:color="D5D5D5" w:themeColor="accent3" w:themeTint="75" w:fill="auto"/>
      </w:tcPr>
    </w:tblStylePr>
  </w:style>
  <w:style w:type="table" w:customStyle="1" w:styleId="91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band1Vert">
      <w:tcPr>
        <w:shd w:val="clear" w:color="FEE289" w:themeColor="accent4" w:themeTint="75" w:fill="auto"/>
      </w:tcPr>
    </w:tblStylePr>
    <w:tblStylePr w:type="band1Horz">
      <w:tcPr>
        <w:shd w:val="clear" w:color="FEE289" w:themeColor="accent4" w:themeTint="75" w:fill="auto"/>
      </w:tcPr>
    </w:tblStylePr>
  </w:style>
  <w:style w:type="table" w:customStyle="1" w:styleId="92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band1Vert">
      <w:tcPr>
        <w:shd w:val="clear" w:color="A9BEE3" w:themeColor="accent5" w:themeTint="75" w:fill="auto"/>
      </w:tcPr>
    </w:tblStylePr>
    <w:tblStylePr w:type="band1Horz">
      <w:tcPr>
        <w:shd w:val="clear" w:color="A9BEE3" w:themeColor="accent5" w:themeTint="75" w:fill="auto"/>
      </w:tcPr>
    </w:tblStylePr>
  </w:style>
  <w:style w:type="table" w:customStyle="1" w:styleId="93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band1Vert">
      <w:tcPr>
        <w:shd w:val="clear" w:color="BCDBA8" w:themeColor="accent6" w:themeTint="75" w:fill="auto"/>
      </w:tcPr>
    </w:tblStylePr>
    <w:tblStylePr w:type="band1Horz">
      <w:tcPr>
        <w:shd w:val="clear" w:color="BCDBA8" w:themeColor="accent6" w:themeTint="75" w:fill="auto"/>
      </w:tcPr>
    </w:tblStylePr>
  </w:style>
  <w:style w:type="table" w:customStyle="1" w:styleId="94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1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auto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7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8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09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auto"/>
      </w:tcPr>
    </w:tblStylePr>
    <w:tblStylePr w:type="band1Horz">
      <w:tcPr>
        <w:shd w:val="clear" w:color="D5E5F4" w:themeColor="accent1" w:themeTint="40" w:fill="auto"/>
      </w:tcPr>
    </w:tblStylePr>
  </w:style>
  <w:style w:type="table" w:customStyle="1" w:styleId="110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auto"/>
      </w:tcPr>
    </w:tblStylePr>
    <w:tblStylePr w:type="band1Horz">
      <w:tcPr>
        <w:shd w:val="clear" w:color="FADECB" w:themeColor="accent2" w:themeTint="40" w:fill="auto"/>
      </w:tcPr>
    </w:tblStylePr>
  </w:style>
  <w:style w:type="table" w:customStyle="1" w:styleId="111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auto"/>
      </w:tcPr>
    </w:tblStylePr>
    <w:tblStylePr w:type="band1Horz">
      <w:tcPr>
        <w:shd w:val="clear" w:color="E8E8E8" w:themeColor="accent3" w:themeTint="40" w:fill="auto"/>
      </w:tcPr>
    </w:tblStylePr>
  </w:style>
  <w:style w:type="table" w:customStyle="1" w:styleId="112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auto"/>
      </w:tcPr>
    </w:tblStylePr>
    <w:tblStylePr w:type="band1Horz">
      <w:tcPr>
        <w:shd w:val="clear" w:color="FFEFBE" w:themeColor="accent4" w:themeTint="40" w:fill="auto"/>
      </w:tcPr>
    </w:tblStylePr>
  </w:style>
  <w:style w:type="table" w:customStyle="1" w:styleId="113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auto"/>
      </w:tcPr>
    </w:tblStylePr>
    <w:tblStylePr w:type="band1Horz">
      <w:tcPr>
        <w:shd w:val="clear" w:color="D0DBF0" w:themeColor="accent5" w:themeTint="40" w:fill="auto"/>
      </w:tcPr>
    </w:tblStylePr>
  </w:style>
  <w:style w:type="table" w:customStyle="1" w:styleId="114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auto"/>
      </w:tcPr>
    </w:tblStylePr>
    <w:tblStylePr w:type="band1Horz">
      <w:tcPr>
        <w:shd w:val="clear" w:color="DAEBCF" w:themeColor="accent6" w:themeTint="40" w:fill="auto"/>
      </w:tcPr>
    </w:tblStylePr>
  </w:style>
  <w:style w:type="table" w:customStyle="1" w:styleId="115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6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</w:style>
  <w:style w:type="table" w:customStyle="1" w:styleId="117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</w:style>
  <w:style w:type="table" w:customStyle="1" w:styleId="118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</w:style>
  <w:style w:type="table" w:customStyle="1" w:styleId="119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</w:style>
  <w:style w:type="table" w:customStyle="1" w:styleId="120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</w:style>
  <w:style w:type="table" w:customStyle="1" w:styleId="121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</w:style>
  <w:style w:type="table" w:customStyle="1" w:styleId="122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4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5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6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7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8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9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0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auto"/>
      </w:tcPr>
    </w:tblStylePr>
  </w:style>
  <w:style w:type="table" w:customStyle="1" w:styleId="131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</w:style>
  <w:style w:type="table" w:customStyle="1" w:styleId="132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</w:style>
  <w:style w:type="table" w:customStyle="1" w:styleId="133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auto"/>
      </w:tcPr>
    </w:tblStylePr>
  </w:style>
  <w:style w:type="table" w:customStyle="1" w:styleId="134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auto"/>
      </w:tcPr>
    </w:tblStylePr>
  </w:style>
  <w:style w:type="table" w:customStyle="1" w:styleId="135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</w:style>
  <w:style w:type="table" w:customStyle="1" w:styleId="136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37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auto"/>
      </w:tcPr>
    </w:tblStylePr>
  </w:style>
  <w:style w:type="table" w:customStyle="1" w:styleId="138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auto"/>
      </w:tcPr>
    </w:tblStylePr>
  </w:style>
  <w:style w:type="table" w:customStyle="1" w:styleId="139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auto"/>
      </w:tcPr>
    </w:tblStylePr>
  </w:style>
  <w:style w:type="table" w:customStyle="1" w:styleId="140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auto"/>
      </w:tcPr>
    </w:tblStylePr>
  </w:style>
  <w:style w:type="table" w:customStyle="1" w:styleId="141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auto"/>
      </w:tcPr>
    </w:tblStylePr>
  </w:style>
  <w:style w:type="table" w:customStyle="1" w:styleId="142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uto"/>
      </w:tcPr>
    </w:tblStylePr>
  </w:style>
  <w:style w:type="table" w:customStyle="1" w:styleId="143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5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auto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2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auto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auto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58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</w:style>
  <w:style w:type="table" w:customStyle="1" w:styleId="159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160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161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162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163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64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5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auto"/>
      </w:tcPr>
    </w:tblStylePr>
  </w:style>
  <w:style w:type="table" w:customStyle="1" w:styleId="166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</w:style>
  <w:style w:type="table" w:customStyle="1" w:styleId="167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</w:style>
  <w:style w:type="table" w:customStyle="1" w:styleId="168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auto"/>
      </w:tcPr>
    </w:tblStylePr>
  </w:style>
  <w:style w:type="table" w:customStyle="1" w:styleId="169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auto"/>
      </w:tcPr>
    </w:tblStylePr>
  </w:style>
  <w:style w:type="table" w:customStyle="1" w:styleId="170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</w:style>
  <w:style w:type="table" w:customStyle="1" w:styleId="171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3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4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5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6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7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paragraph" w:styleId="18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490</Characters>
  <TotalTime>16</TotalTime>
  <ScaleCrop>false</ScaleCrop>
  <LinksUpToDate>false</LinksUpToDate>
  <CharactersWithSpaces>490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2023-01-01T11:25:00Z</dcterms:created>
  <dc:creator>杨坤诺</dc:creator>
  <cp:lastModifiedBy>Administrator</cp:lastModifiedBy>
  <dcterms:modified xsi:type="dcterms:W3CDTF">2023-01-02T01:40:57Z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828532689DC144148E3C0D860845CFF6</vt:lpwstr>
  </property>
</Properties>
</file>