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after="156" w:afterLines="50" w:line="660" w:lineRule="exact"/>
        <w:jc w:val="center"/>
        <w:textAlignment w:val="auto"/>
        <w:outlineLvl w:val="9"/>
        <w:rPr>
          <w:rFonts w:hint="eastAsia" w:ascii="文星标宋" w:hAnsi="文星标宋" w:eastAsia="文星标宋" w:cs="文星标宋"/>
          <w:sz w:val="44"/>
          <w:szCs w:val="44"/>
        </w:rPr>
      </w:pPr>
    </w:p>
    <w:p>
      <w:pPr>
        <w:pStyle w:val="2"/>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660" w:lineRule="exact"/>
        <w:jc w:val="center"/>
        <w:textAlignment w:val="auto"/>
        <w:outlineLvl w:val="9"/>
        <w:rPr>
          <w:rFonts w:hint="eastAsia" w:ascii="文星标宋" w:hAnsi="文星标宋" w:eastAsia="文星标宋" w:cs="文星标宋"/>
          <w:sz w:val="44"/>
          <w:szCs w:val="44"/>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660" w:lineRule="exact"/>
        <w:jc w:val="center"/>
        <w:textAlignment w:val="auto"/>
        <w:outlineLvl w:val="9"/>
        <w:rPr>
          <w:rFonts w:hint="eastAsia" w:ascii="文星标宋" w:hAnsi="文星标宋" w:eastAsia="文星标宋" w:cs="文星标宋"/>
          <w:sz w:val="44"/>
          <w:szCs w:val="44"/>
        </w:rPr>
      </w:pPr>
    </w:p>
    <w:p>
      <w:pPr>
        <w:pStyle w:val="2"/>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三金 〔20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bookmarkStart w:id="0" w:name="_GoBack"/>
      <w:bookmarkEnd w:id="0"/>
      <w:r>
        <w:rPr>
          <w:rFonts w:hint="default" w:ascii="Times New Roman" w:hAnsi="Times New Roman" w:eastAsia="仿宋_GB2312" w:cs="Times New Roman"/>
          <w:sz w:val="32"/>
          <w:szCs w:val="32"/>
        </w:rPr>
        <w:t>签发人：</w:t>
      </w:r>
      <w:r>
        <w:rPr>
          <w:rFonts w:hint="default" w:ascii="Times New Roman" w:hAnsi="Times New Roman" w:eastAsia="仿宋_GB2312" w:cs="Times New Roman"/>
          <w:sz w:val="32"/>
          <w:szCs w:val="32"/>
          <w:lang w:eastAsia="zh-CN"/>
        </w:rPr>
        <w:t>冯</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铎</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文星标宋" w:cs="Times New Roman"/>
          <w:sz w:val="36"/>
          <w:szCs w:val="36"/>
        </w:rPr>
      </w:pPr>
      <w:r>
        <w:rPr>
          <w:rFonts w:hint="default" w:ascii="Times New Roman" w:hAnsi="Times New Roman" w:eastAsia="仿宋_GB2312" w:cs="Times New Roman"/>
          <w:sz w:val="32"/>
          <w:szCs w:val="32"/>
        </w:rPr>
        <w:t xml:space="preserve">                                   办理结果: A</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文星标宋" w:cs="Times New Roman"/>
          <w:sz w:val="36"/>
          <w:szCs w:val="36"/>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文星标宋" w:cs="Times New Roman"/>
          <w:bCs/>
          <w:sz w:val="44"/>
          <w:szCs w:val="44"/>
        </w:rPr>
      </w:pPr>
      <w:r>
        <w:rPr>
          <w:rFonts w:hint="default" w:ascii="Times New Roman" w:hAnsi="Times New Roman" w:eastAsia="文星标宋" w:cs="Times New Roman"/>
          <w:bCs/>
          <w:sz w:val="44"/>
          <w:szCs w:val="44"/>
        </w:rPr>
        <w:t>对市政协</w:t>
      </w:r>
      <w:r>
        <w:rPr>
          <w:rFonts w:hint="default" w:ascii="Times New Roman" w:hAnsi="Times New Roman" w:eastAsia="文星标宋" w:cs="Times New Roman"/>
          <w:bCs/>
          <w:sz w:val="44"/>
          <w:szCs w:val="44"/>
          <w:lang w:eastAsia="zh-CN"/>
        </w:rPr>
        <w:t>八</w:t>
      </w:r>
      <w:r>
        <w:rPr>
          <w:rFonts w:hint="default" w:ascii="Times New Roman" w:hAnsi="Times New Roman" w:eastAsia="文星标宋" w:cs="Times New Roman"/>
          <w:bCs/>
          <w:sz w:val="44"/>
          <w:szCs w:val="44"/>
        </w:rPr>
        <w:t>届</w:t>
      </w:r>
      <w:r>
        <w:rPr>
          <w:rFonts w:hint="default" w:ascii="Times New Roman" w:hAnsi="Times New Roman" w:eastAsia="文星标宋" w:cs="Times New Roman"/>
          <w:bCs/>
          <w:sz w:val="44"/>
          <w:szCs w:val="44"/>
          <w:lang w:eastAsia="zh-CN"/>
        </w:rPr>
        <w:t>一</w:t>
      </w:r>
      <w:r>
        <w:rPr>
          <w:rFonts w:hint="default" w:ascii="Times New Roman" w:hAnsi="Times New Roman" w:eastAsia="文星标宋" w:cs="Times New Roman"/>
          <w:bCs/>
          <w:sz w:val="44"/>
          <w:szCs w:val="44"/>
        </w:rPr>
        <w:t>次会议第</w:t>
      </w:r>
      <w:r>
        <w:rPr>
          <w:rFonts w:hint="eastAsia" w:eastAsia="文星标宋" w:cs="Times New Roman"/>
          <w:bCs/>
          <w:sz w:val="44"/>
          <w:szCs w:val="44"/>
          <w:lang w:val="en-US" w:eastAsia="zh-CN"/>
        </w:rPr>
        <w:t>39</w:t>
      </w:r>
      <w:r>
        <w:rPr>
          <w:rFonts w:hint="default" w:ascii="Times New Roman" w:hAnsi="Times New Roman" w:eastAsia="文星标宋" w:cs="Times New Roman"/>
          <w:bCs/>
          <w:sz w:val="44"/>
          <w:szCs w:val="44"/>
        </w:rPr>
        <w:t>号提案的答复</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CESI仿宋-GB2312" w:hAnsi="CESI仿宋-GB2312" w:eastAsia="CESI仿宋-GB2312" w:cs="CESI仿宋-GB2312"/>
          <w:kern w:val="2"/>
          <w:sz w:val="32"/>
          <w:szCs w:val="32"/>
          <w:u w:val="none"/>
          <w:lang w:eastAsia="zh-CN"/>
        </w:rPr>
      </w:pPr>
      <w:r>
        <w:rPr>
          <w:rFonts w:hint="eastAsia" w:ascii="CESI仿宋-GB2312" w:hAnsi="CESI仿宋-GB2312" w:eastAsia="CESI仿宋-GB2312" w:cs="CESI仿宋-GB2312"/>
          <w:kern w:val="2"/>
          <w:sz w:val="32"/>
          <w:szCs w:val="32"/>
          <w:u w:val="none"/>
        </w:rPr>
        <w:t>汪雪梅</w:t>
      </w:r>
      <w:r>
        <w:rPr>
          <w:rFonts w:hint="eastAsia" w:ascii="CESI仿宋-GB2312" w:hAnsi="CESI仿宋-GB2312" w:eastAsia="CESI仿宋-GB2312" w:cs="CESI仿宋-GB2312"/>
          <w:kern w:val="2"/>
          <w:sz w:val="32"/>
          <w:szCs w:val="32"/>
          <w:u w:val="none"/>
          <w:lang w:eastAsia="zh-CN"/>
        </w:rPr>
        <w:t>委员：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您提出的关于“关于解决非公经济融资难、融资贵的提案”已收悉。</w:t>
      </w:r>
      <w:r>
        <w:rPr>
          <w:rFonts w:eastAsia="仿宋_GB2312"/>
          <w:bCs/>
          <w:sz w:val="32"/>
          <w:szCs w:val="32"/>
        </w:rPr>
        <w:t>经与</w:t>
      </w:r>
      <w:r>
        <w:rPr>
          <w:rFonts w:hint="eastAsia" w:eastAsia="仿宋_GB2312"/>
          <w:bCs/>
          <w:sz w:val="32"/>
          <w:szCs w:val="32"/>
          <w:lang w:eastAsia="zh-CN"/>
        </w:rPr>
        <w:t>相关部门</w:t>
      </w:r>
      <w:r>
        <w:rPr>
          <w:rFonts w:eastAsia="仿宋_GB2312"/>
          <w:bCs/>
          <w:sz w:val="32"/>
          <w:szCs w:val="32"/>
        </w:rPr>
        <w:t>共同研究</w:t>
      </w:r>
      <w:r>
        <w:rPr>
          <w:rFonts w:hint="eastAsia" w:eastAsia="仿宋_GB2312"/>
          <w:bCs/>
          <w:sz w:val="32"/>
          <w:szCs w:val="32"/>
          <w:lang w:eastAsia="zh-CN"/>
        </w:rPr>
        <w:t>，</w:t>
      </w:r>
      <w:r>
        <w:rPr>
          <w:rFonts w:hint="eastAsia" w:ascii="CESI仿宋-GB2312" w:hAnsi="CESI仿宋-GB2312" w:eastAsia="CESI仿宋-GB2312" w:cs="CESI仿宋-GB2312"/>
          <w:sz w:val="32"/>
          <w:szCs w:val="32"/>
          <w:lang w:eastAsia="zh-CN"/>
        </w:rPr>
        <w:t>现答复如下：</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jc w:val="both"/>
        <w:textAlignment w:val="auto"/>
        <w:outlineLvl w:val="9"/>
        <w:rPr>
          <w:rFonts w:hint="eastAsia" w:ascii="黑体" w:hAnsi="黑体" w:eastAsia="黑体" w:cs="黑体"/>
          <w:b w:val="0"/>
          <w:bCs/>
          <w:sz w:val="32"/>
          <w:szCs w:val="32"/>
          <w:lang w:val="en-US" w:eastAsia="zh-CN"/>
        </w:rPr>
      </w:pPr>
      <w:r>
        <w:rPr>
          <w:rFonts w:hint="eastAsia" w:ascii="方正黑体_GBK" w:hAnsi="方正黑体_GBK" w:eastAsia="方正黑体_GBK" w:cs="方正黑体_GBK"/>
          <w:b w:val="0"/>
          <w:bCs/>
          <w:sz w:val="32"/>
          <w:szCs w:val="32"/>
          <w:lang w:val="en-US" w:eastAsia="zh-CN"/>
        </w:rPr>
        <w:t>　</w:t>
      </w:r>
      <w:r>
        <w:rPr>
          <w:rFonts w:hint="eastAsia" w:ascii="黑体" w:hAnsi="黑体" w:eastAsia="黑体" w:cs="黑体"/>
          <w:b w:val="0"/>
          <w:bCs/>
          <w:sz w:val="32"/>
          <w:szCs w:val="32"/>
          <w:lang w:val="en-US" w:eastAsia="zh-CN"/>
        </w:rPr>
        <w:t>一、关于</w:t>
      </w:r>
      <w:r>
        <w:rPr>
          <w:rFonts w:hint="eastAsia" w:ascii="黑体" w:hAnsi="黑体" w:eastAsia="黑体" w:cs="黑体"/>
          <w:b w:val="0"/>
          <w:bCs/>
          <w:kern w:val="2"/>
          <w:sz w:val="32"/>
          <w:szCs w:val="32"/>
          <w:lang w:eastAsia="zh-CN"/>
        </w:rPr>
        <w:t>金融支持非公经济发展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Calibri" w:hAnsi="Calibri" w:eastAsia="仿宋_GB2312" w:cs="Times New Roman"/>
          <w:bCs/>
          <w:color w:val="auto"/>
          <w:kern w:val="2"/>
          <w:sz w:val="32"/>
          <w:szCs w:val="32"/>
          <w:lang w:val="en-US" w:eastAsia="zh-CN" w:bidi="ar-SA"/>
        </w:rPr>
      </w:pPr>
      <w:r>
        <w:rPr>
          <w:rFonts w:hint="eastAsia" w:ascii="Calibri" w:hAnsi="Calibri" w:eastAsia="仿宋_GB2312" w:cs="Times New Roman"/>
          <w:bCs/>
          <w:color w:val="auto"/>
          <w:kern w:val="2"/>
          <w:sz w:val="32"/>
          <w:szCs w:val="32"/>
          <w:lang w:val="en-US" w:eastAsia="zh-CN" w:bidi="ar-SA"/>
        </w:rPr>
        <w:t>非公经济是社会主义市场经济的重要组成部分。中共二十大上特别强调要将非公经济和公有制经济放在同等重要位置，平等对待，要予以支持。</w:t>
      </w:r>
      <w:r>
        <w:rPr>
          <w:rFonts w:hint="eastAsia" w:eastAsia="仿宋_GB2312" w:cs="Times New Roman"/>
          <w:b/>
          <w:bCs w:val="0"/>
          <w:color w:val="auto"/>
          <w:kern w:val="2"/>
          <w:sz w:val="32"/>
          <w:szCs w:val="32"/>
          <w:lang w:val="en-US" w:eastAsia="zh-CN" w:bidi="ar-SA"/>
        </w:rPr>
        <w:t>一是出台支持措施。</w:t>
      </w:r>
      <w:r>
        <w:rPr>
          <w:rFonts w:hint="eastAsia" w:ascii="Calibri" w:hAnsi="Calibri" w:eastAsia="仿宋_GB2312" w:cs="Times New Roman"/>
          <w:bCs/>
          <w:color w:val="auto"/>
          <w:kern w:val="2"/>
          <w:sz w:val="32"/>
          <w:szCs w:val="32"/>
          <w:lang w:val="en-US" w:eastAsia="zh-CN" w:bidi="ar-SA"/>
        </w:rPr>
        <w:t>市金融工作局、市场监管局、人民银行三门峡市中心支行、三门峡银保监分局、市工商联出台等5家单位联合出台《深化金融合作支持非公有制企业发展实施方案》，进一步激发非公有制企业发展活力，破解非公有制企业融资难题，促进金融体系和企业良性循环。</w:t>
      </w:r>
      <w:r>
        <w:rPr>
          <w:rFonts w:hint="eastAsia" w:eastAsia="仿宋_GB2312" w:cs="Times New Roman"/>
          <w:b/>
          <w:bCs w:val="0"/>
          <w:color w:val="auto"/>
          <w:kern w:val="2"/>
          <w:sz w:val="32"/>
          <w:szCs w:val="32"/>
          <w:lang w:val="en-US" w:eastAsia="zh-CN" w:bidi="ar-SA"/>
        </w:rPr>
        <w:t>二是支持专精特新企业发展。</w:t>
      </w:r>
      <w:r>
        <w:rPr>
          <w:rFonts w:hint="eastAsia" w:eastAsia="仿宋_GB2312" w:cs="Times New Roman"/>
          <w:bCs/>
          <w:color w:val="auto"/>
          <w:kern w:val="2"/>
          <w:sz w:val="32"/>
          <w:szCs w:val="32"/>
          <w:lang w:val="en-US" w:eastAsia="zh-CN" w:bidi="ar-SA"/>
        </w:rPr>
        <w:t>近年来，金融系统</w:t>
      </w:r>
      <w:r>
        <w:rPr>
          <w:rFonts w:hint="eastAsia" w:ascii="Calibri" w:hAnsi="Calibri" w:eastAsia="仿宋_GB2312" w:cs="Times New Roman"/>
          <w:bCs/>
          <w:color w:val="auto"/>
          <w:kern w:val="2"/>
          <w:sz w:val="32"/>
          <w:szCs w:val="32"/>
          <w:lang w:val="en-US" w:eastAsia="zh-CN" w:bidi="ar-SA"/>
        </w:rPr>
        <w:t>围绕《三门峡银行业保险业支持“专精特新”中小企业高质量发展指导意见》所提出的全市战略性新兴产业，将“专精特新”企业作为各金融机构重点支持对象，建立健全“专精特新白名单”制度，开辟“绿色通道”，优先提供信贷支持。截至目前，投放“专精特新贷”17亿元。并同步出台了《三门峡市科技型企业贷款风险补偿金使用管理办法》，设立了总规模2000万元的科技贷风险补偿金，通过建立风险补偿机制，引导合作银行降低对科技型企业实物资产抵（质）押要求，并对合作银行出现的实际损失给予50%风险补偿的新型贷款业务。截至目前，投放“科技贷”78亿元。</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二、关于金融精准施策个性化支持企业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Calibri" w:hAnsi="Calibri" w:eastAsia="仿宋_GB2312" w:cs="Times New Roman"/>
          <w:bCs/>
          <w:color w:val="auto"/>
          <w:kern w:val="2"/>
          <w:sz w:val="32"/>
          <w:szCs w:val="32"/>
          <w:lang w:val="en-US" w:eastAsia="zh-CN" w:bidi="ar-SA"/>
        </w:rPr>
      </w:pPr>
      <w:r>
        <w:rPr>
          <w:rFonts w:hint="eastAsia" w:eastAsia="仿宋_GB2312" w:cs="Times New Roman"/>
          <w:bCs/>
          <w:color w:val="auto"/>
          <w:kern w:val="2"/>
          <w:sz w:val="32"/>
          <w:szCs w:val="32"/>
          <w:lang w:val="en-US" w:eastAsia="zh-CN" w:bidi="ar-SA"/>
        </w:rPr>
        <w:t>全市金融系统，</w:t>
      </w:r>
      <w:r>
        <w:rPr>
          <w:rFonts w:hint="eastAsia" w:ascii="Calibri" w:hAnsi="Calibri" w:eastAsia="仿宋_GB2312" w:cs="Times New Roman"/>
          <w:b/>
          <w:bCs w:val="0"/>
          <w:color w:val="auto"/>
          <w:kern w:val="2"/>
          <w:sz w:val="32"/>
          <w:szCs w:val="32"/>
          <w:lang w:val="en-US" w:eastAsia="zh-CN" w:bidi="ar-SA"/>
        </w:rPr>
        <w:t>一是实地走访解难题。</w:t>
      </w:r>
      <w:r>
        <w:rPr>
          <w:rFonts w:hint="eastAsia" w:ascii="Calibri" w:hAnsi="Calibri" w:eastAsia="仿宋_GB2312" w:cs="Times New Roman"/>
          <w:bCs/>
          <w:color w:val="auto"/>
          <w:kern w:val="2"/>
          <w:sz w:val="32"/>
          <w:szCs w:val="32"/>
          <w:lang w:val="en-US" w:eastAsia="zh-CN" w:bidi="ar-SA"/>
        </w:rPr>
        <w:t>持续深入开展“万人助万企”活动，组织全市各银行机构通过“行长进万企”等载体活动，共开展企业走访活动72次，调研企业420余家，组织惠企政策金融专场宣讲12次，帮助244家企业实现融资51.23亿元。同时协调财政等相关部门为企业协调拨付奖补资金230余万元。</w:t>
      </w:r>
      <w:r>
        <w:rPr>
          <w:rFonts w:hint="eastAsia" w:ascii="Calibri" w:hAnsi="Calibri" w:eastAsia="仿宋_GB2312" w:cs="Times New Roman"/>
          <w:b/>
          <w:bCs w:val="0"/>
          <w:color w:val="auto"/>
          <w:kern w:val="2"/>
          <w:sz w:val="32"/>
          <w:szCs w:val="32"/>
          <w:lang w:val="en-US" w:eastAsia="zh-CN" w:bidi="ar-SA"/>
        </w:rPr>
        <w:t>二是线下会商纾企困。</w:t>
      </w:r>
      <w:r>
        <w:rPr>
          <w:rFonts w:hint="eastAsia" w:ascii="Calibri" w:hAnsi="Calibri" w:eastAsia="仿宋_GB2312" w:cs="Times New Roman"/>
          <w:bCs/>
          <w:color w:val="auto"/>
          <w:kern w:val="2"/>
          <w:sz w:val="32"/>
          <w:szCs w:val="32"/>
          <w:lang w:val="en-US" w:eastAsia="zh-CN" w:bidi="ar-SA"/>
        </w:rPr>
        <w:t>充分发挥市金融服务中心作用，全市31家金融机构在中心设立服务窗口，随时收集中小微企业在日常经营生产中出现的融资难题，每周四定期组织相关银行、担保机构进行会商。市金融服务中心组建以来，先后组织开展银企对接会商91次，帮助217家企业实现融资13.1亿元。</w:t>
      </w:r>
      <w:r>
        <w:rPr>
          <w:rFonts w:hint="eastAsia" w:ascii="Calibri" w:hAnsi="Calibri" w:eastAsia="仿宋_GB2312" w:cs="Times New Roman"/>
          <w:b/>
          <w:bCs w:val="0"/>
          <w:color w:val="auto"/>
          <w:kern w:val="2"/>
          <w:sz w:val="32"/>
          <w:szCs w:val="32"/>
          <w:lang w:val="en-US" w:eastAsia="zh-CN" w:bidi="ar-SA"/>
        </w:rPr>
        <w:t>三是线上对接提质效。</w:t>
      </w:r>
      <w:r>
        <w:rPr>
          <w:rFonts w:hint="eastAsia" w:ascii="Calibri" w:hAnsi="Calibri" w:eastAsia="仿宋_GB2312" w:cs="Times New Roman"/>
          <w:bCs/>
          <w:color w:val="auto"/>
          <w:kern w:val="2"/>
          <w:sz w:val="32"/>
          <w:szCs w:val="32"/>
          <w:lang w:val="en-US" w:eastAsia="zh-CN" w:bidi="ar-SA"/>
        </w:rPr>
        <w:t>创新开设“三门峡金融”5G直播平台，打破地域空间限制，常态化开展银企线上对接和政策产品宣讲，与企业线上“面对面”交流。截至目前，已开展直播活动40期，其中，专场直播7期，受众人群达17万余人次，线上对接企业429家，实现融资2.7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三、关于降低企业融资成本</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3" w:firstLineChars="200"/>
        <w:jc w:val="both"/>
        <w:textAlignment w:val="auto"/>
        <w:outlineLvl w:val="9"/>
        <w:rPr>
          <w:rFonts w:hint="eastAsia" w:ascii="Calibri" w:hAnsi="Calibri" w:eastAsia="仿宋_GB2312" w:cs="Times New Roman"/>
          <w:bCs/>
          <w:color w:val="auto"/>
          <w:kern w:val="2"/>
          <w:sz w:val="32"/>
          <w:szCs w:val="32"/>
          <w:lang w:val="en-US" w:eastAsia="zh-CN" w:bidi="ar-SA"/>
        </w:rPr>
      </w:pPr>
      <w:r>
        <w:rPr>
          <w:rFonts w:hint="eastAsia" w:ascii="Calibri" w:hAnsi="Calibri" w:eastAsia="仿宋_GB2312" w:cs="Times New Roman"/>
          <w:b/>
          <w:bCs w:val="0"/>
          <w:color w:val="auto"/>
          <w:kern w:val="2"/>
          <w:sz w:val="32"/>
          <w:szCs w:val="32"/>
          <w:lang w:val="en-US" w:eastAsia="zh-CN" w:bidi="ar-SA"/>
        </w:rPr>
        <w:t>一是引导各银行机构加大中长期贷款投放力度。</w:t>
      </w:r>
      <w:r>
        <w:rPr>
          <w:rFonts w:hint="eastAsia" w:ascii="Calibri" w:hAnsi="Calibri" w:eastAsia="仿宋_GB2312" w:cs="Times New Roman"/>
          <w:bCs/>
          <w:color w:val="auto"/>
          <w:kern w:val="2"/>
          <w:sz w:val="32"/>
          <w:szCs w:val="32"/>
          <w:lang w:val="en-US" w:eastAsia="zh-CN" w:bidi="ar-SA"/>
        </w:rPr>
        <w:t>截至2023年2月末，全市贷款余额1110亿元，其中，中长期贷款余额达604.6亿元，占比达54.5％，比上年同期增加17.9亿元。</w:t>
      </w:r>
      <w:r>
        <w:rPr>
          <w:rFonts w:hint="eastAsia" w:ascii="Calibri" w:hAnsi="Calibri" w:eastAsia="仿宋_GB2312" w:cs="Times New Roman"/>
          <w:b/>
          <w:bCs w:val="0"/>
          <w:color w:val="auto"/>
          <w:kern w:val="2"/>
          <w:sz w:val="32"/>
          <w:szCs w:val="32"/>
          <w:lang w:val="en-US" w:eastAsia="zh-CN" w:bidi="ar-SA"/>
        </w:rPr>
        <w:t>二是落实延期还本付息政策。</w:t>
      </w:r>
      <w:r>
        <w:rPr>
          <w:rFonts w:hint="eastAsia" w:ascii="Calibri" w:hAnsi="Calibri" w:eastAsia="仿宋_GB2312" w:cs="Times New Roman"/>
          <w:bCs/>
          <w:color w:val="auto"/>
          <w:kern w:val="2"/>
          <w:sz w:val="32"/>
          <w:szCs w:val="32"/>
          <w:lang w:val="en-US" w:eastAsia="zh-CN" w:bidi="ar-SA"/>
        </w:rPr>
        <w:t>联合市人行、银保监分局印发《关于进一步加强金融支持小微企业和个体工商户纾困的通知》（三金﹝2022﹞2号），对受疫情影响、信用记录良好、有发展前景、暂时困难的小微企业和个体工商户，各银行业金融机构要按市场化、法治化原则合理给予贷款展期和续贷安排，支持受困企业抵御疫情影响，不得盲目限贷、抽贷、断贷。本息最长可延6个月。2023年以来，全市银行业机构共为605户市场主体办理延期还本692笔，贷款金额合计8.45亿元；为211户中小微企业和个体工商户办理贷款延期付息0.35亿元。</w:t>
      </w:r>
      <w:r>
        <w:rPr>
          <w:rFonts w:hint="eastAsia" w:ascii="Calibri" w:hAnsi="Calibri" w:eastAsia="仿宋_GB2312" w:cs="Times New Roman"/>
          <w:b/>
          <w:bCs w:val="0"/>
          <w:color w:val="auto"/>
          <w:kern w:val="2"/>
          <w:sz w:val="32"/>
          <w:szCs w:val="32"/>
          <w:lang w:val="en-US" w:eastAsia="zh-CN" w:bidi="ar-SA"/>
        </w:rPr>
        <w:t>三是发挥政府性融资担保机构作用。</w:t>
      </w:r>
      <w:r>
        <w:rPr>
          <w:rFonts w:hint="eastAsia" w:ascii="Calibri" w:hAnsi="Calibri" w:eastAsia="仿宋_GB2312" w:cs="Times New Roman"/>
          <w:bCs/>
          <w:color w:val="auto"/>
          <w:kern w:val="2"/>
          <w:sz w:val="32"/>
          <w:szCs w:val="32"/>
          <w:lang w:val="en-US" w:eastAsia="zh-CN" w:bidi="ar-SA"/>
        </w:rPr>
        <w:t>对单户担保金额500万元及以下的小微企业和 “三农”主体收取的担保费率降低至以内1%；对单户担保金额500万元以上的，担保费率降低至1.5%以内。截至2月末，全市融资担保机构在保1630户6.4亿元，其中，当年新增89户1.1亿元，小微企业综合担保费率1.05％，较2021年末1.35％下降0.3个百分点。</w:t>
      </w:r>
      <w:r>
        <w:rPr>
          <w:rFonts w:hint="eastAsia" w:ascii="Calibri" w:hAnsi="Calibri" w:eastAsia="仿宋_GB2312" w:cs="Times New Roman"/>
          <w:b/>
          <w:bCs w:val="0"/>
          <w:color w:val="auto"/>
          <w:kern w:val="2"/>
          <w:sz w:val="32"/>
          <w:szCs w:val="32"/>
          <w:lang w:val="en-US" w:eastAsia="zh-CN" w:bidi="ar-SA"/>
        </w:rPr>
        <w:t>四是完善定价机制，合理确定贷款利率。</w:t>
      </w:r>
      <w:r>
        <w:rPr>
          <w:rFonts w:hint="eastAsia" w:ascii="Calibri" w:hAnsi="Calibri" w:eastAsia="仿宋_GB2312" w:cs="Times New Roman"/>
          <w:bCs/>
          <w:color w:val="auto"/>
          <w:kern w:val="2"/>
          <w:sz w:val="32"/>
          <w:szCs w:val="32"/>
          <w:lang w:val="en-US" w:eastAsia="zh-CN" w:bidi="ar-SA"/>
        </w:rPr>
        <w:t>引导各银行机构积极疏通内部利率传导机制，将货币、税收减免、财政奖补等政策红利向终端利率价格有效传导。截至2023年2月末，全市普惠型小微企业贷款余额 127.18 亿元，较年初增加14.99亿元，较年初增速13.46%。普惠型小微贷款累放利率4.93%，较年初下降0.38个百分点。</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outlineLvl w:val="9"/>
        <w:rPr>
          <w:rFonts w:hint="eastAsia" w:ascii="Calibri" w:hAnsi="Calibri" w:eastAsia="仿宋_GB2312" w:cs="Times New Roman"/>
          <w:bCs/>
          <w:color w:val="auto"/>
          <w:kern w:val="2"/>
          <w:sz w:val="32"/>
          <w:szCs w:val="32"/>
          <w:lang w:val="en-US" w:eastAsia="zh-CN" w:bidi="ar-SA"/>
        </w:rPr>
      </w:pPr>
      <w:r>
        <w:rPr>
          <w:rFonts w:hint="eastAsia" w:ascii="Calibri" w:hAnsi="Calibri" w:eastAsia="仿宋_GB2312" w:cs="Times New Roman"/>
          <w:bCs/>
          <w:color w:val="auto"/>
          <w:kern w:val="2"/>
          <w:sz w:val="32"/>
          <w:szCs w:val="32"/>
          <w:lang w:val="en-US" w:eastAsia="zh-CN" w:bidi="ar-SA"/>
        </w:rPr>
        <w:t>在下步工作中，我局将联合人民银行三门峡市中心支行、三门峡银保监分局，进一步引导各银行机构支持民营企业发展。</w:t>
      </w:r>
      <w:r>
        <w:rPr>
          <w:rFonts w:hint="eastAsia" w:ascii="Calibri" w:hAnsi="Calibri" w:eastAsia="仿宋_GB2312" w:cs="Times New Roman"/>
          <w:b/>
          <w:bCs w:val="0"/>
          <w:color w:val="auto"/>
          <w:kern w:val="2"/>
          <w:sz w:val="32"/>
          <w:szCs w:val="32"/>
          <w:lang w:val="en-US" w:eastAsia="zh-CN" w:bidi="ar-SA"/>
        </w:rPr>
        <w:t>一是科技驱动</w:t>
      </w:r>
      <w:r>
        <w:rPr>
          <w:rFonts w:hint="eastAsia" w:eastAsia="仿宋_GB2312" w:cs="Times New Roman"/>
          <w:b/>
          <w:bCs w:val="0"/>
          <w:color w:val="auto"/>
          <w:kern w:val="2"/>
          <w:sz w:val="32"/>
          <w:szCs w:val="32"/>
          <w:lang w:val="en-US" w:eastAsia="zh-CN" w:bidi="ar-SA"/>
        </w:rPr>
        <w:t>。</w:t>
      </w:r>
      <w:r>
        <w:rPr>
          <w:rFonts w:hint="eastAsia" w:ascii="Calibri" w:hAnsi="Calibri" w:eastAsia="仿宋_GB2312" w:cs="Times New Roman"/>
          <w:bCs/>
          <w:color w:val="auto"/>
          <w:kern w:val="2"/>
          <w:sz w:val="32"/>
          <w:szCs w:val="32"/>
          <w:lang w:val="en-US" w:eastAsia="zh-CN" w:bidi="ar-SA"/>
        </w:rPr>
        <w:t>针对小微企业轻资产特点，要进一步创新完善针对小微企业的信用评价模型、风险控制技术和批量授信审批机制，加强对小微企业信用信息的挖掘运用，加强差异化小微企业信贷产品开发。</w:t>
      </w:r>
      <w:r>
        <w:rPr>
          <w:rFonts w:hint="eastAsia" w:ascii="Calibri" w:hAnsi="Calibri" w:eastAsia="仿宋_GB2312" w:cs="Times New Roman"/>
          <w:b/>
          <w:bCs w:val="0"/>
          <w:color w:val="auto"/>
          <w:kern w:val="2"/>
          <w:sz w:val="32"/>
          <w:szCs w:val="32"/>
          <w:lang w:val="en-US" w:eastAsia="zh-CN" w:bidi="ar-SA"/>
        </w:rPr>
        <w:t>二是一企一策</w:t>
      </w:r>
      <w:r>
        <w:rPr>
          <w:rFonts w:hint="eastAsia" w:eastAsia="仿宋_GB2312" w:cs="Times New Roman"/>
          <w:b/>
          <w:bCs w:val="0"/>
          <w:color w:val="auto"/>
          <w:kern w:val="2"/>
          <w:sz w:val="32"/>
          <w:szCs w:val="32"/>
          <w:lang w:val="en-US" w:eastAsia="zh-CN" w:bidi="ar-SA"/>
        </w:rPr>
        <w:t>。</w:t>
      </w:r>
      <w:r>
        <w:rPr>
          <w:rFonts w:hint="eastAsia" w:ascii="Calibri" w:hAnsi="Calibri" w:eastAsia="仿宋_GB2312" w:cs="Times New Roman"/>
          <w:bCs/>
          <w:color w:val="auto"/>
          <w:kern w:val="2"/>
          <w:sz w:val="32"/>
          <w:szCs w:val="32"/>
          <w:lang w:val="en-US" w:eastAsia="zh-CN" w:bidi="ar-SA"/>
        </w:rPr>
        <w:t xml:space="preserve">对标对表，精准施策，靶向治理，靶向出招，有针对性、有具体的支持措施，帮助企业度过难关。 </w:t>
      </w:r>
      <w:r>
        <w:rPr>
          <w:rFonts w:hint="eastAsia" w:ascii="Calibri" w:hAnsi="Calibri" w:eastAsia="仿宋_GB2312" w:cs="Times New Roman"/>
          <w:b/>
          <w:bCs w:val="0"/>
          <w:color w:val="auto"/>
          <w:kern w:val="2"/>
          <w:sz w:val="32"/>
          <w:szCs w:val="32"/>
          <w:lang w:val="en-US" w:eastAsia="zh-CN" w:bidi="ar-SA"/>
        </w:rPr>
        <w:t>三是下沉重心</w:t>
      </w:r>
      <w:r>
        <w:rPr>
          <w:rFonts w:hint="eastAsia" w:eastAsia="仿宋_GB2312" w:cs="Times New Roman"/>
          <w:b/>
          <w:bCs w:val="0"/>
          <w:color w:val="auto"/>
          <w:kern w:val="2"/>
          <w:sz w:val="32"/>
          <w:szCs w:val="32"/>
          <w:lang w:val="en-US" w:eastAsia="zh-CN" w:bidi="ar-SA"/>
        </w:rPr>
        <w:t>。</w:t>
      </w:r>
      <w:r>
        <w:rPr>
          <w:rFonts w:hint="eastAsia" w:ascii="Calibri" w:hAnsi="Calibri" w:eastAsia="仿宋_GB2312" w:cs="Times New Roman"/>
          <w:bCs/>
          <w:color w:val="auto"/>
          <w:kern w:val="2"/>
          <w:sz w:val="32"/>
          <w:szCs w:val="32"/>
          <w:lang w:val="en-US" w:eastAsia="zh-CN" w:bidi="ar-SA"/>
        </w:rPr>
        <w:t>细分小微企业客户群体，下沉服务重心</w:t>
      </w:r>
      <w:r>
        <w:rPr>
          <w:rFonts w:hint="default" w:ascii="Calibri" w:hAnsi="Calibri" w:eastAsia="仿宋_GB2312" w:cs="Times New Roman"/>
          <w:bCs/>
          <w:color w:val="auto"/>
          <w:kern w:val="2"/>
          <w:sz w:val="32"/>
          <w:szCs w:val="32"/>
          <w:lang w:val="en-US" w:eastAsia="zh-CN" w:bidi="ar-SA"/>
        </w:rPr>
        <w:t>，形成小微金融市场有序竞争、各有侧重的信贷供给格局</w:t>
      </w:r>
      <w:r>
        <w:rPr>
          <w:rFonts w:hint="eastAsia" w:ascii="Calibri" w:hAnsi="Calibri" w:eastAsia="仿宋_GB2312" w:cs="Times New Roman"/>
          <w:bCs/>
          <w:color w:val="auto"/>
          <w:kern w:val="2"/>
          <w:sz w:val="32"/>
          <w:szCs w:val="32"/>
          <w:lang w:val="en-US" w:eastAsia="zh-CN" w:bidi="ar-SA"/>
        </w:rPr>
        <w:t>，加大对中小微企业的信贷支持力度。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Calibri" w:hAnsi="Calibri" w:eastAsia="仿宋_GB2312" w:cs="Times New Roman"/>
          <w:bCs/>
          <w:color w:val="auto"/>
          <w:kern w:val="2"/>
          <w:sz w:val="32"/>
          <w:szCs w:val="32"/>
          <w:lang w:val="en-US" w:eastAsia="zh-CN" w:bidi="ar-SA"/>
        </w:rPr>
      </w:pPr>
      <w:r>
        <w:rPr>
          <w:rFonts w:hint="eastAsia" w:ascii="Calibri" w:hAnsi="Calibri" w:eastAsia="仿宋_GB2312" w:cs="Times New Roman"/>
          <w:bCs/>
          <w:color w:val="auto"/>
          <w:kern w:val="2"/>
          <w:sz w:val="32"/>
          <w:szCs w:val="32"/>
          <w:lang w:val="en-US" w:eastAsia="zh-CN" w:bidi="ar-SA"/>
        </w:rPr>
        <w:t xml:space="preserve">感谢您对我市金融工作的关注与支持！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　　　　　　　　　　　　</w:t>
      </w:r>
      <w:r>
        <w:rPr>
          <w:rFonts w:eastAsia="仿宋_GB2312"/>
          <w:bCs/>
          <w:sz w:val="32"/>
          <w:szCs w:val="32"/>
        </w:rPr>
        <w:t>　　　　　　　　　　　　　　　　　　</w:t>
      </w:r>
      <w:r>
        <w:rPr>
          <w:rFonts w:hint="eastAsia" w:eastAsia="仿宋_GB2312"/>
          <w:bCs/>
          <w:sz w:val="32"/>
          <w:szCs w:val="32"/>
          <w:lang w:eastAsia="zh-CN"/>
        </w:rPr>
        <w:t>　　　　　　　　　　　　　　　　　　　　</w:t>
      </w:r>
      <w:r>
        <w:rPr>
          <w:rFonts w:hint="eastAsia"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 w:eastAsia="zh-CN"/>
        </w:rPr>
        <w:t xml:space="preserve">             </w:t>
      </w:r>
      <w:r>
        <w:rPr>
          <w:rFonts w:hint="eastAsia" w:ascii="Times New Roman" w:hAnsi="Times New Roman" w:eastAsia="仿宋_GB2312" w:cs="Times New Roman"/>
          <w:sz w:val="32"/>
          <w:szCs w:val="32"/>
          <w:lang w:val="en-US" w:eastAsia="zh-CN"/>
        </w:rPr>
        <w:t>2023年7月17日</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numPr>
          <w:ilvl w:val="0"/>
          <w:numId w:val="0"/>
        </w:numPr>
        <w:suppressAutoHyphens/>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联系部门及电话：市金融局 2820173   联系人：张健　</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eastAsia="仿宋"/>
          <w:lang w:val="en-US" w:eastAsia="zh-CN"/>
        </w:rPr>
      </w:pPr>
      <w:r>
        <w:rPr>
          <w:rFonts w:hint="eastAsia"/>
          <w:lang w:val="en-US" w:eastAsia="zh-CN"/>
        </w:rPr>
        <w:t>（此页无正文）</w:t>
      </w:r>
    </w:p>
    <w:p>
      <w:pPr>
        <w:pStyle w:val="4"/>
        <w:rPr>
          <w:rFonts w:hint="default"/>
          <w:lang w:val="en-US"/>
        </w:rPr>
      </w:pPr>
    </w:p>
    <w:p>
      <w:pPr>
        <w:rPr>
          <w:rFonts w:hint="default"/>
          <w:lang w:val="en-US"/>
        </w:rPr>
      </w:pPr>
    </w:p>
    <w:p>
      <w:pPr>
        <w:pStyle w:val="2"/>
        <w:rPr>
          <w:rFonts w:hint="default"/>
          <w:lang w:val="en-US"/>
        </w:rPr>
      </w:pPr>
    </w:p>
    <w:p>
      <w:pPr>
        <w:pStyle w:val="4"/>
        <w:rPr>
          <w:rFonts w:hint="default"/>
          <w:lang w:val="en-US"/>
        </w:rPr>
      </w:pPr>
    </w:p>
    <w:p>
      <w:pPr>
        <w:rPr>
          <w:rFonts w:hint="default"/>
          <w:lang w:val="en-US"/>
        </w:rPr>
      </w:pPr>
    </w:p>
    <w:p>
      <w:pPr>
        <w:pStyle w:val="2"/>
        <w:rPr>
          <w:rFonts w:hint="default"/>
          <w:lang w:val="en-US"/>
        </w:rPr>
      </w:pPr>
    </w:p>
    <w:p>
      <w:pPr>
        <w:pStyle w:val="4"/>
        <w:rPr>
          <w:rFonts w:hint="default"/>
          <w:lang w:val="en-US"/>
        </w:rPr>
      </w:pPr>
    </w:p>
    <w:p>
      <w:pPr>
        <w:pStyle w:val="4"/>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2"/>
        <w:ind w:left="0" w:leftChars="0" w:firstLine="0" w:firstLineChars="0"/>
        <w:rPr>
          <w:rFonts w:hint="eastAsia"/>
          <w:lang w:eastAsia="zh-CN"/>
        </w:rPr>
      </w:pPr>
    </w:p>
    <w:p>
      <w:pPr>
        <w:pStyle w:val="4"/>
        <w:rPr>
          <w:rFonts w:hint="eastAsia"/>
          <w:lang w:eastAsia="zh-CN"/>
        </w:rPr>
      </w:pPr>
    </w:p>
    <w:p>
      <w:pPr>
        <w:pStyle w:val="2"/>
        <w:ind w:left="0" w:leftChars="0" w:firstLine="0" w:firstLineChars="0"/>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40" w:lineRule="exact"/>
        <w:textAlignment w:val="auto"/>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after="0" w:afterLines="0" w:line="540" w:lineRule="exact"/>
        <w:textAlignment w:val="auto"/>
        <w:rPr>
          <w:rFonts w:hint="eastAsia"/>
          <w:lang w:eastAsia="zh-CN"/>
        </w:rPr>
      </w:pPr>
    </w:p>
    <w:p>
      <w:pPr>
        <w:pStyle w:val="2"/>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800" w:hanging="700" w:hangingChars="250"/>
        <w:textAlignment w:val="auto"/>
        <w:outlineLvl w:val="9"/>
        <w:rPr>
          <w:rFonts w:hint="eastAsia"/>
        </w:rPr>
      </w:pPr>
      <w:r>
        <w:rPr>
          <w:rFonts w:eastAsia="仿宋_GB2312"/>
          <w:bCs/>
          <w:sz w:val="28"/>
          <w:szCs w:val="3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38100</wp:posOffset>
                </wp:positionV>
                <wp:extent cx="5715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pt;height:0pt;width:450pt;z-index:251662336;mso-width-relative:page;mso-height-relative:page;" filled="f" stroked="t" coordsize="21600,21600" o:gfxdata="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yQYyfUAAAABwEAAA8AAAAA&#10;AAAAAQAgAAAAIgAAAGRycy9kb3ducmV2LnhtbFBLAQIUABQAAAAIAIdO4kCva2fE3wEAAKQDAAAO&#10;AAAAAAAAAAEAIAAAACM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bCs/>
          <w:sz w:val="32"/>
          <w:szCs w:val="32"/>
        </w:rPr>
        <w:t>抄送：</w:t>
      </w:r>
      <w:r>
        <w:rPr>
          <w:rFonts w:eastAsia="仿宋_GB2312"/>
          <w:bCs/>
          <w:sz w:val="32"/>
          <w:szCs w:val="32"/>
        </w:rPr>
        <w:t>市</w:t>
      </w:r>
      <w:r>
        <w:rPr>
          <w:rFonts w:hint="eastAsia" w:eastAsia="仿宋_GB2312"/>
          <w:bCs/>
          <w:sz w:val="32"/>
          <w:szCs w:val="32"/>
          <w:lang w:eastAsia="zh-CN"/>
        </w:rPr>
        <w:t>政协提案委</w:t>
      </w:r>
      <w:r>
        <w:rPr>
          <w:rFonts w:eastAsia="仿宋_GB2312"/>
          <w:bCs/>
          <w:sz w:val="32"/>
          <w:szCs w:val="32"/>
        </w:rPr>
        <w:t>（3份），市政府办公室人大政协</w:t>
      </w:r>
      <w:r>
        <w:rPr>
          <w:rFonts w:hint="default" w:ascii="Times New Roman" w:hAnsi="Times New Roman" w:eastAsia="仿宋_GB2312" w:cs="Times New Roman"/>
          <w:bCs/>
          <w:sz w:val="32"/>
          <w:szCs w:val="32"/>
        </w:rPr>
        <w:t>联络科（1份），</w:t>
      </w:r>
      <w:r>
        <w:rPr>
          <w:rFonts w:hint="eastAsia" w:eastAsia="仿宋_GB2312" w:cs="Times New Roman"/>
          <w:bCs/>
          <w:sz w:val="32"/>
          <w:szCs w:val="32"/>
          <w:lang w:eastAsia="zh-CN"/>
        </w:rPr>
        <w:t>委员</w:t>
      </w:r>
      <w:r>
        <w:rPr>
          <w:rFonts w:hint="default" w:ascii="Times New Roman" w:hAnsi="Times New Roman" w:eastAsia="仿宋_GB2312" w:cs="Times New Roman"/>
          <w:bCs/>
          <w:sz w:val="32"/>
          <w:szCs w:val="32"/>
        </w:rPr>
        <w:t>所在县（市、区）</w:t>
      </w:r>
      <w:r>
        <w:rPr>
          <w:rFonts w:hint="eastAsia" w:eastAsia="仿宋_GB2312" w:cs="Times New Roman"/>
          <w:bCs/>
          <w:sz w:val="32"/>
          <w:szCs w:val="32"/>
          <w:lang w:eastAsia="zh-CN"/>
        </w:rPr>
        <w:t>政府</w:t>
      </w:r>
      <w:r>
        <w:rPr>
          <w:rFonts w:hint="default" w:ascii="Times New Roman" w:hAnsi="Times New Roman" w:eastAsia="仿宋_GB2312" w:cs="Times New Roman"/>
          <w:bCs/>
          <w:sz w:val="32"/>
          <w:szCs w:val="32"/>
        </w:rPr>
        <w:t>、</w:t>
      </w:r>
      <w:r>
        <w:rPr>
          <w:rFonts w:hint="eastAsia" w:eastAsia="仿宋_GB2312" w:cs="Times New Roman"/>
          <w:bCs/>
          <w:sz w:val="32"/>
          <w:szCs w:val="32"/>
          <w:lang w:eastAsia="zh-CN"/>
        </w:rPr>
        <w:t>政协</w:t>
      </w:r>
      <w:r>
        <w:rPr>
          <w:rFonts w:hint="default" w:ascii="Times New Roman" w:hAnsi="Times New Roman" w:eastAsia="仿宋_GB2312" w:cs="Times New Roman"/>
          <w:bCs/>
          <w:sz w:val="32"/>
          <w:szCs w:val="32"/>
        </w:rPr>
        <w:t>（各1份）。</w:t>
      </w:r>
    </w:p>
    <w:p>
      <w:pPr>
        <w:keepNext w:val="0"/>
        <w:keepLines w:val="0"/>
        <w:pageBreakBefore w:val="0"/>
        <w:widowControl w:val="0"/>
        <w:tabs>
          <w:tab w:val="left" w:pos="8280"/>
          <w:tab w:val="left" w:pos="8460"/>
          <w:tab w:val="left" w:pos="8997"/>
        </w:tabs>
        <w:kinsoku/>
        <w:wordWrap/>
        <w:overflowPunct/>
        <w:topLinePunct w:val="0"/>
        <w:autoSpaceDE/>
        <w:autoSpaceDN/>
        <w:bidi w:val="0"/>
        <w:adjustRightInd/>
        <w:snapToGrid/>
        <w:spacing w:before="156" w:line="540" w:lineRule="exact"/>
        <w:ind w:right="177"/>
        <w:textAlignment w:val="auto"/>
        <w:outlineLvl w:val="9"/>
        <w:rPr>
          <w:rFonts w:ascii="仿宋_GB2312" w:eastAsia="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68580</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5.4pt;height:0pt;width:450pt;z-index:251661312;mso-width-relative:page;mso-height-relative:page;" filled="f" stroked="t" coordsize="21600,21600" o:gfxdata="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ZxcRzUAAAACQEAAA8AAAAA&#10;AAAAAQAgAAAAIgAAAGRycy9kb3ducmV2LnhtbFBLAQIUABQAAAAIAIdO4kB/hyuB3wEAAKQ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20"/>
          <w:sz w:val="32"/>
          <w:szCs w:val="32"/>
        </w:rPr>
        <w:t xml:space="preserve">三门峡市金融工作局                      </w:t>
      </w:r>
      <w:r>
        <w:rPr>
          <w:rFonts w:hint="default" w:ascii="Times New Roman" w:hAnsi="Times New Roman" w:eastAsia="仿宋_GB2312" w:cs="Times New Roman"/>
          <w:spacing w:val="-20"/>
          <w:sz w:val="32"/>
          <w:szCs w:val="32"/>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日印发</w:t>
      </w:r>
      <w:r>
        <w:rPr>
          <w:rFonts w:hint="default" w:ascii="Times New Roman" w:hAnsi="Times New Roman" w:eastAsia="仿宋_GB2312" w:cs="Times New Roman"/>
          <w:sz w:val="28"/>
          <w:szCs w:val="32"/>
        </w:rPr>
        <w:t xml:space="preserve"> </w:t>
      </w:r>
      <w:r>
        <w:rPr>
          <w:rFonts w:hint="eastAsia" w:ascii="仿宋_GB2312" w:eastAsia="仿宋_GB2312"/>
          <w:sz w:val="32"/>
          <w:szCs w:val="32"/>
        </w:rPr>
        <w:t xml:space="preserve">           </w:t>
      </w:r>
    </w:p>
    <w:p>
      <w:pPr>
        <w:keepNext w:val="0"/>
        <w:keepLines w:val="0"/>
        <w:pageBreakBefore w:val="0"/>
        <w:widowControl w:val="0"/>
        <w:tabs>
          <w:tab w:val="right" w:pos="8844"/>
        </w:tabs>
        <w:kinsoku/>
        <w:wordWrap/>
        <w:overflowPunct/>
        <w:topLinePunct w:val="0"/>
        <w:autoSpaceDE/>
        <w:autoSpaceDN/>
        <w:bidi w:val="0"/>
        <w:adjustRightInd/>
        <w:snapToGrid/>
        <w:spacing w:line="540" w:lineRule="exact"/>
        <w:jc w:val="left"/>
        <w:textAlignment w:val="auto"/>
        <w:rPr>
          <w:sz w:val="32"/>
          <w:szCs w:val="32"/>
        </w:rPr>
      </w:pPr>
      <w:r>
        <w:rPr>
          <w:rFonts w:hint="eastAsia" w:ascii="仿宋_GB2312" w:eastAsia="仿宋_GB2312"/>
          <w:sz w:val="28"/>
          <w:szCs w:val="32"/>
        </w:rPr>
        <w:drawing>
          <wp:anchor distT="0" distB="0" distL="114300" distR="114300" simplePos="0" relativeHeight="251663360" behindDoc="0" locked="0" layoutInCell="1" allowOverlap="1">
            <wp:simplePos x="0" y="0"/>
            <wp:positionH relativeFrom="column">
              <wp:posOffset>3638550</wp:posOffset>
            </wp:positionH>
            <wp:positionV relativeFrom="paragraph">
              <wp:posOffset>360045</wp:posOffset>
            </wp:positionV>
            <wp:extent cx="1790700" cy="476250"/>
            <wp:effectExtent l="0" t="0" r="0" b="0"/>
            <wp:wrapTopAndBottom/>
            <wp:docPr id="3" name="图片 3" descr="三金2023-13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三金2023-13号"/>
                    <pic:cNvPicPr>
                      <a:picLocks noChangeAspect="1"/>
                    </pic:cNvPicPr>
                  </pic:nvPicPr>
                  <pic:blipFill>
                    <a:blip r:embed="rId6"/>
                    <a:stretch>
                      <a:fillRect/>
                    </a:stretch>
                  </pic:blipFill>
                  <pic:spPr>
                    <a:xfrm>
                      <a:off x="0" y="0"/>
                      <a:ext cx="1790700" cy="476250"/>
                    </a:xfrm>
                    <a:prstGeom prst="rect">
                      <a:avLst/>
                    </a:prstGeom>
                  </pic:spPr>
                </pic:pic>
              </a:graphicData>
            </a:graphic>
          </wp:anchor>
        </w:drawing>
      </w:r>
      <w:r>
        <w:rPr>
          <w:rFonts w:hint="eastAsia" w:ascii="仿宋_GB2312" w:eastAsia="仿宋_GB2312"/>
          <w:sz w:val="28"/>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15240</wp:posOffset>
                </wp:positionV>
                <wp:extent cx="5705475" cy="27305"/>
                <wp:effectExtent l="0" t="4445" r="9525" b="6350"/>
                <wp:wrapNone/>
                <wp:docPr id="5" name="直接连接符 5"/>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1.2pt;height:2.15pt;width:449.25pt;z-index:251660288;mso-width-relative:page;mso-height-relative:page;" filled="f" stroked="t" coordsize="21600,21600" o:gfxdata="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JFgbN1gAAAAcBAAAPAAAA&#10;AAAAAAEAIAAAACIAAABkcnMvZG93bnJldi54bWxQSwECFAAUAAAACACHTuJA0LO4I94BAACkAwAA&#10;DgAAAAAAAAABACAAAAAlAQAAZHJzL2Uyb0RvYy54bWxQSwUGAAAAAAYABgBZAQAAdQUAAAAA&#10;">
                <v:fill on="f" focussize="0,0"/>
                <v:stroke color="#000000" joinstyle="round"/>
                <v:imagedata o:title=""/>
                <o:lock v:ext="edit" aspectratio="f"/>
              </v:line>
            </w:pict>
          </mc:Fallback>
        </mc:AlternateConten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411"/>
        <w:tab w:val="clear" w:pos="4153"/>
      </w:tabs>
      <w:rPr>
        <w:rFonts w:asciiTheme="minorAscii"/>
        <w:sz w:val="32"/>
        <w:szCs w:val="32"/>
      </w:rPr>
    </w:pPr>
    <w:r>
      <w:rPr>
        <w:rFonts w:asciiTheme="minorAscii"/>
        <w:sz w:val="32"/>
        <w:szCs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4455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44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360" w:firstLine="360"/>
                          </w:pPr>
                          <w:r>
                            <w:rPr>
                              <w:rStyle w:val="15"/>
                              <w:rFonts w:eastAsia="仿宋_GB2312"/>
                              <w:sz w:val="28"/>
                            </w:rPr>
                            <w:fldChar w:fldCharType="begin"/>
                          </w:r>
                          <w:r>
                            <w:rPr>
                              <w:rStyle w:val="15"/>
                              <w:rFonts w:eastAsia="仿宋_GB2312"/>
                              <w:sz w:val="28"/>
                            </w:rPr>
                            <w:instrText xml:space="preserve">PAGE  </w:instrText>
                          </w:r>
                          <w:r>
                            <w:rPr>
                              <w:rStyle w:val="15"/>
                              <w:rFonts w:eastAsia="仿宋_GB2312"/>
                              <w:sz w:val="28"/>
                            </w:rPr>
                            <w:fldChar w:fldCharType="separate"/>
                          </w:r>
                          <w:r>
                            <w:rPr>
                              <w:rStyle w:val="15"/>
                              <w:rFonts w:eastAsia="仿宋_GB2312"/>
                              <w:sz w:val="28"/>
                            </w:rPr>
                            <w:t>- 1 -</w:t>
                          </w:r>
                          <w:r>
                            <w:rPr>
                              <w:rStyle w:val="15"/>
                              <w:rFonts w:eastAsia="仿宋_GB2312"/>
                              <w:sz w:val="28"/>
                            </w:rPr>
                            <w:fldChar w:fldCharType="end"/>
                          </w:r>
                        </w:p>
                        <w:p>
                          <w:pPr>
                            <w:pStyle w:val="9"/>
                            <w:rPr>
                              <w:rFonts w:hint="eastAsia" w:eastAsia="宋体"/>
                              <w:sz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6.5pt;mso-position-horizontal:outside;mso-position-horizontal-relative:margin;z-index:251658240;mso-width-relative:page;mso-height-relative:page;" filled="f" stroked="f" coordsize="21600,21600" o:gfxdata="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spcP0wAAAAUBAAAPAAAA&#10;AAAAAAEAIAAAACIAAABkcnMvZG93bnJldi54bWxQSwECFAAUAAAACACHTuJAyLPeExoCAAAUBAAA&#10;DgAAAAAAAAABACAAAAAiAQAAZHJzL2Uyb0RvYy54bWxQSwUGAAAAAAYABgBZAQAArgUAAAAA&#10;">
              <v:fill on="f" focussize="0,0"/>
              <v:stroke on="f" weight="0.5pt"/>
              <v:imagedata o:title=""/>
              <o:lock v:ext="edit" aspectratio="f"/>
              <v:textbox inset="0mm,0mm,0mm,0mm" style="mso-fit-shape-to-text:t;">
                <w:txbxContent>
                  <w:p>
                    <w:pPr>
                      <w:pStyle w:val="9"/>
                      <w:ind w:right="360" w:firstLine="360"/>
                    </w:pPr>
                    <w:r>
                      <w:rPr>
                        <w:rStyle w:val="15"/>
                        <w:rFonts w:eastAsia="仿宋_GB2312"/>
                        <w:sz w:val="28"/>
                      </w:rPr>
                      <w:fldChar w:fldCharType="begin"/>
                    </w:r>
                    <w:r>
                      <w:rPr>
                        <w:rStyle w:val="15"/>
                        <w:rFonts w:eastAsia="仿宋_GB2312"/>
                        <w:sz w:val="28"/>
                      </w:rPr>
                      <w:instrText xml:space="preserve">PAGE  </w:instrText>
                    </w:r>
                    <w:r>
                      <w:rPr>
                        <w:rStyle w:val="15"/>
                        <w:rFonts w:eastAsia="仿宋_GB2312"/>
                        <w:sz w:val="28"/>
                      </w:rPr>
                      <w:fldChar w:fldCharType="separate"/>
                    </w:r>
                    <w:r>
                      <w:rPr>
                        <w:rStyle w:val="15"/>
                        <w:rFonts w:eastAsia="仿宋_GB2312"/>
                        <w:sz w:val="28"/>
                      </w:rPr>
                      <w:t>- 1 -</w:t>
                    </w:r>
                    <w:r>
                      <w:rPr>
                        <w:rStyle w:val="15"/>
                        <w:rFonts w:eastAsia="仿宋_GB2312"/>
                        <w:sz w:val="28"/>
                      </w:rPr>
                      <w:fldChar w:fldCharType="end"/>
                    </w:r>
                  </w:p>
                  <w:p>
                    <w:pPr>
                      <w:pStyle w:val="9"/>
                      <w:rPr>
                        <w:rFonts w:hint="eastAsia" w:eastAsia="宋体"/>
                        <w:sz w:val="28"/>
                        <w:lang w:eastAsia="zh-CN"/>
                      </w:rPr>
                    </w:pPr>
                  </w:p>
                </w:txbxContent>
              </v:textbox>
            </v:shape>
          </w:pict>
        </mc:Fallback>
      </mc:AlternateContent>
    </w:r>
    <w:r>
      <w:rPr>
        <w:rFonts w:hint="eastAsia" w:asciiTheme="minorAscii"/>
        <w:sz w:val="32"/>
        <w:szCs w:val="32"/>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E5E0C"/>
    <w:rsid w:val="0528512F"/>
    <w:rsid w:val="06255629"/>
    <w:rsid w:val="0BFB3D73"/>
    <w:rsid w:val="10CC6BFC"/>
    <w:rsid w:val="137324CD"/>
    <w:rsid w:val="14C525D7"/>
    <w:rsid w:val="156457AA"/>
    <w:rsid w:val="16C8167F"/>
    <w:rsid w:val="1A1F055D"/>
    <w:rsid w:val="2683298F"/>
    <w:rsid w:val="271F4A91"/>
    <w:rsid w:val="2B6A3286"/>
    <w:rsid w:val="2D4773DF"/>
    <w:rsid w:val="2EE015E8"/>
    <w:rsid w:val="32F9254F"/>
    <w:rsid w:val="33F044E3"/>
    <w:rsid w:val="383A52F9"/>
    <w:rsid w:val="3A146629"/>
    <w:rsid w:val="3CB22642"/>
    <w:rsid w:val="3EFB0F35"/>
    <w:rsid w:val="3FB8494B"/>
    <w:rsid w:val="403F3593"/>
    <w:rsid w:val="40634CA1"/>
    <w:rsid w:val="4154511B"/>
    <w:rsid w:val="415A1EAD"/>
    <w:rsid w:val="433C40E0"/>
    <w:rsid w:val="4383664C"/>
    <w:rsid w:val="4420007F"/>
    <w:rsid w:val="45B50C25"/>
    <w:rsid w:val="4890566A"/>
    <w:rsid w:val="4B79072F"/>
    <w:rsid w:val="500071B3"/>
    <w:rsid w:val="50EB1E48"/>
    <w:rsid w:val="54647D0B"/>
    <w:rsid w:val="558514E4"/>
    <w:rsid w:val="56974398"/>
    <w:rsid w:val="59366BB8"/>
    <w:rsid w:val="5BE72B11"/>
    <w:rsid w:val="5FD355FD"/>
    <w:rsid w:val="61B745BE"/>
    <w:rsid w:val="63FE00ED"/>
    <w:rsid w:val="6B4E0850"/>
    <w:rsid w:val="6E9C1CCC"/>
    <w:rsid w:val="6F2A739F"/>
    <w:rsid w:val="6FF97F8C"/>
    <w:rsid w:val="70834DDB"/>
    <w:rsid w:val="755C676E"/>
    <w:rsid w:val="78492377"/>
    <w:rsid w:val="78693DB4"/>
    <w:rsid w:val="7C3872AE"/>
    <w:rsid w:val="7CA0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3">
    <w:name w:val="Default Paragraph Font"/>
    <w:link w:val="14"/>
    <w:semiHidden/>
    <w:qFormat/>
    <w:uiPriority w:val="0"/>
    <w:rPr>
      <w:rFonts w:ascii="Times New Roman" w:hAnsi="Times New Roman"/>
      <w:szCs w:val="20"/>
    </w:rPr>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afterLines="0"/>
      <w:ind w:left="420" w:leftChars="200" w:firstLine="420"/>
    </w:pPr>
    <w:rPr>
      <w:rFonts w:ascii="仿宋" w:hAnsi="仿宋" w:eastAsia="仿宋"/>
      <w:szCs w:val="32"/>
    </w:rPr>
  </w:style>
  <w:style w:type="paragraph" w:styleId="3">
    <w:name w:val="Body Text Indent"/>
    <w:basedOn w:val="1"/>
    <w:unhideWhenUsed/>
    <w:qFormat/>
    <w:uiPriority w:val="99"/>
    <w:pPr>
      <w:ind w:firstLine="640" w:firstLineChars="200"/>
    </w:pPr>
    <w:rPr>
      <w:rFonts w:eastAsia="仿宋_GB2312"/>
      <w:sz w:val="32"/>
      <w:szCs w:val="36"/>
    </w:rPr>
  </w:style>
  <w:style w:type="paragraph" w:styleId="4">
    <w:name w:val="Body Text First Indent"/>
    <w:basedOn w:val="5"/>
    <w:next w:val="1"/>
    <w:unhideWhenUsed/>
    <w:qFormat/>
    <w:uiPriority w:val="99"/>
    <w:pPr>
      <w:spacing w:after="0" w:afterLines="0"/>
      <w:ind w:firstLine="420"/>
    </w:pPr>
    <w:rPr>
      <w:bCs/>
      <w:sz w:val="44"/>
      <w:szCs w:val="24"/>
    </w:rPr>
  </w:style>
  <w:style w:type="paragraph" w:styleId="5">
    <w:name w:val="Body Text"/>
    <w:basedOn w:val="1"/>
    <w:next w:val="1"/>
    <w:qFormat/>
    <w:uiPriority w:val="0"/>
    <w:pPr>
      <w:jc w:val="center"/>
    </w:pPr>
    <w:rPr>
      <w:rFonts w:ascii="Calibri" w:hAnsi="Calibri"/>
      <w:sz w:val="44"/>
    </w:rPr>
  </w:style>
  <w:style w:type="paragraph" w:styleId="7">
    <w:name w:val="Normal Indent"/>
    <w:basedOn w:val="1"/>
    <w:qFormat/>
    <w:uiPriority w:val="0"/>
    <w:pPr>
      <w:spacing w:line="360" w:lineRule="auto"/>
      <w:ind w:firstLine="567"/>
    </w:pPr>
    <w:rPr>
      <w:rFonts w:ascii="Calibri" w:hAnsi="宋体" w:eastAsia="宋体" w:cs="黑体"/>
      <w:kern w:val="0"/>
      <w:sz w:val="28"/>
      <w:szCs w:val="20"/>
    </w:rPr>
  </w:style>
  <w:style w:type="paragraph" w:styleId="8">
    <w:name w:val="Salutation"/>
    <w:basedOn w:val="1"/>
    <w:next w:val="1"/>
    <w:qFormat/>
    <w:uiPriority w:val="0"/>
    <w:pPr>
      <w:suppressAutoHyphens w:val="0"/>
    </w:pPr>
    <w:rPr>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unhideWhenUsed/>
    <w:qFormat/>
    <w:uiPriority w:val="99"/>
    <w:pPr>
      <w:spacing w:after="120" w:line="480" w:lineRule="auto"/>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Char Char Char Char Char Char1 Char Char Char Char Char Char"/>
    <w:basedOn w:val="1"/>
    <w:link w:val="13"/>
    <w:qFormat/>
    <w:uiPriority w:val="0"/>
    <w:rPr>
      <w:rFonts w:ascii="Times New Roman" w:hAnsi="Times New Roman"/>
      <w:szCs w:val="20"/>
    </w:rPr>
  </w:style>
  <w:style w:type="character" w:styleId="15">
    <w:name w:val="page number"/>
    <w:basedOn w:val="13"/>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Administrator</cp:lastModifiedBy>
  <cp:lastPrinted>2023-07-19T08:07:32Z</cp:lastPrinted>
  <dcterms:modified xsi:type="dcterms:W3CDTF">2023-07-19T08:09:21Z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