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黑体" w:hAnsi="Times New Roman" w:eastAsia="黑体" w:cs="Times New Roman"/>
          <w:kern w:val="2"/>
          <w:sz w:val="40"/>
          <w:szCs w:val="40"/>
          <w:lang w:val="en-US" w:eastAsia="zh-CN" w:bidi="ar"/>
        </w:rPr>
      </w:pPr>
      <w:r>
        <w:rPr>
          <w:rFonts w:hint="eastAsia" w:ascii="黑体" w:hAnsi="Times New Roman" w:eastAsia="黑体" w:cs="Times New Roman"/>
          <w:kern w:val="2"/>
          <w:sz w:val="40"/>
          <w:szCs w:val="40"/>
          <w:lang w:val="en-US" w:eastAsia="zh-CN" w:bidi="ar"/>
        </w:rPr>
        <w:t>关于</w:t>
      </w:r>
      <w:r>
        <w:rPr>
          <w:rFonts w:hint="eastAsia" w:ascii="黑体" w:eastAsia="黑体" w:cs="Times New Roman"/>
          <w:kern w:val="2"/>
          <w:sz w:val="40"/>
          <w:szCs w:val="40"/>
          <w:lang w:val="en-US" w:eastAsia="zh-Hans" w:bidi="ar"/>
        </w:rPr>
        <w:t>推进</w:t>
      </w:r>
      <w:r>
        <w:rPr>
          <w:rFonts w:hint="eastAsia" w:ascii="黑体" w:hAnsi="Times New Roman" w:eastAsia="黑体" w:cs="Times New Roman"/>
          <w:kern w:val="2"/>
          <w:sz w:val="40"/>
          <w:szCs w:val="40"/>
          <w:lang w:val="en-US" w:eastAsia="zh-CN" w:bidi="ar"/>
        </w:rPr>
        <w:t>诉前调解环节申请律师调查令和诉</w:t>
      </w:r>
      <w:r>
        <w:rPr>
          <w:rFonts w:hint="eastAsia" w:ascii="黑体" w:eastAsia="黑体" w:cs="Times New Roman"/>
          <w:kern w:val="2"/>
          <w:sz w:val="40"/>
          <w:szCs w:val="40"/>
          <w:lang w:val="en-US" w:eastAsia="zh-Hans" w:bidi="ar"/>
        </w:rPr>
        <w:t>前</w:t>
      </w:r>
      <w:r>
        <w:rPr>
          <w:rFonts w:hint="eastAsia" w:ascii="黑体" w:hAnsi="Times New Roman" w:eastAsia="黑体" w:cs="Times New Roman"/>
          <w:kern w:val="2"/>
          <w:sz w:val="40"/>
          <w:szCs w:val="40"/>
          <w:lang w:val="en-US" w:eastAsia="zh-CN" w:bidi="ar"/>
        </w:rPr>
        <w:t>保全的建议</w:t>
      </w:r>
    </w:p>
    <w:p>
      <w:pPr>
        <w:jc w:val="both"/>
        <w:rPr>
          <w:rFonts w:hint="eastAsia" w:ascii="黑体" w:hAnsi="宋体" w:eastAsia="黑体" w:cs="黑体"/>
          <w:sz w:val="24"/>
          <w:szCs w:val="24"/>
          <w:lang w:val="en-US"/>
        </w:rPr>
      </w:pPr>
      <w:r>
        <w:rPr>
          <w:rFonts w:hint="eastAsia" w:ascii="黑体" w:hAnsi="宋体" w:eastAsia="黑体" w:cs="黑体"/>
          <w:sz w:val="32"/>
          <w:szCs w:val="32"/>
          <w:lang w:eastAsia="zh-CN"/>
        </w:rPr>
        <w:t>内容：（情况分析、建议和解决方法）</w:t>
      </w:r>
    </w:p>
    <w:p>
      <w:pPr>
        <w:spacing w:line="500" w:lineRule="exact"/>
        <w:jc w:val="both"/>
        <w:rPr>
          <w:rFonts w:hint="eastAsia" w:ascii="黑体" w:hAnsi="宋体" w:eastAsia="黑体" w:cs="黑体"/>
          <w:sz w:val="32"/>
          <w:szCs w:val="32"/>
          <w:lang w:val="en-US" w:eastAsia="zh-CN"/>
        </w:rPr>
      </w:pPr>
    </w:p>
    <w:p>
      <w:pPr>
        <w:spacing w:line="500" w:lineRule="exact"/>
        <w:rPr>
          <w:rFonts w:hint="eastAsia" w:ascii="黑体" w:hAnsi="宋体" w:eastAsia="黑体" w:cs="黑体"/>
          <w:sz w:val="32"/>
          <w:szCs w:val="32"/>
          <w:lang w:val="en-US" w:eastAsia="zh-CN"/>
        </w:rPr>
      </w:pPr>
      <w:r>
        <w:rPr>
          <w:rFonts w:hint="eastAsia" w:ascii="黑体" w:hAnsi="宋体" w:eastAsia="黑体" w:cs="黑体"/>
          <w:sz w:val="32"/>
          <w:szCs w:val="32"/>
          <w:lang w:val="en-US" w:eastAsia="zh-CN"/>
        </w:rPr>
        <w:t xml:space="preserve">【情况分析】 </w:t>
      </w:r>
    </w:p>
    <w:p>
      <w:pPr>
        <w:pStyle w:val="11"/>
        <w:keepNext w:val="0"/>
        <w:keepLines w:val="0"/>
        <w:widowControl/>
        <w:numPr>
          <w:ilvl w:val="0"/>
          <w:numId w:val="1"/>
        </w:numPr>
        <w:suppressLineNumbers w:val="0"/>
        <w:spacing w:before="0" w:beforeAutospacing="0" w:after="0" w:afterAutospacing="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诉前调解具有程序灵活高效、节约诉讼成本、保护当事人隐私、缓解双方对抗性等优点，已经成为人民法院解决民商事纠纷的重要途径，为了更好地运用诉前调解手段化解矛盾纠纷，需要调解员运用多种审判辅助手段查明案件事实；律师调查令作为审判辅助手段之一，减轻了法院的调查取证负担，也保障了律师执业权利，值得大力推广，但目前实施的律师调查令制度，限于人民法院正在审理的普通一审、二审及执行程序；从实践中来看，目前我市人民法院在诉前调解阶段，代理律师申请</w:t>
      </w:r>
      <w:r>
        <w:rPr>
          <w:rFonts w:hint="eastAsia" w:ascii="黑体" w:hAnsi="黑体" w:eastAsia="黑体" w:cs="黑体"/>
          <w:sz w:val="32"/>
          <w:szCs w:val="32"/>
          <w:lang w:val="en-US" w:eastAsia="zh-Hans"/>
        </w:rPr>
        <w:t>律师</w:t>
      </w:r>
      <w:r>
        <w:rPr>
          <w:rFonts w:hint="eastAsia" w:ascii="黑体" w:hAnsi="黑体" w:eastAsia="黑体" w:cs="黑体"/>
          <w:sz w:val="32"/>
          <w:szCs w:val="32"/>
          <w:lang w:val="en-US" w:eastAsia="zh-CN"/>
        </w:rPr>
        <w:t>调查令</w:t>
      </w:r>
      <w:r>
        <w:rPr>
          <w:rFonts w:hint="eastAsia" w:ascii="黑体" w:hAnsi="黑体" w:eastAsia="黑体" w:cs="黑体"/>
          <w:sz w:val="32"/>
          <w:szCs w:val="32"/>
          <w:lang w:val="en-US" w:eastAsia="zh-Hans"/>
        </w:rPr>
        <w:t>困难重重</w:t>
      </w:r>
      <w:r>
        <w:rPr>
          <w:rFonts w:hint="eastAsia" w:ascii="黑体" w:hAnsi="黑体" w:eastAsia="黑体" w:cs="黑体"/>
          <w:sz w:val="32"/>
          <w:szCs w:val="32"/>
          <w:lang w:val="en-US" w:eastAsia="zh-CN"/>
        </w:rPr>
        <w:t>，无法调取与案件有关的证据，导致诉前调解阶段效果大打折扣</w:t>
      </w:r>
      <w:r>
        <w:rPr>
          <w:rFonts w:hint="eastAsia" w:ascii="黑体" w:eastAsia="黑体" w:cs="黑体"/>
          <w:sz w:val="32"/>
          <w:szCs w:val="32"/>
          <w:lang w:val="en-US" w:eastAsia="zh-CN"/>
        </w:rPr>
        <w:t>。</w:t>
      </w:r>
      <w:r>
        <w:rPr>
          <w:rFonts w:hint="eastAsia" w:ascii="黑体" w:hAnsi="黑体" w:eastAsia="黑体" w:cs="黑体"/>
          <w:sz w:val="32"/>
          <w:szCs w:val="32"/>
          <w:lang w:val="en-US" w:eastAsia="zh-CN"/>
        </w:rPr>
        <w:t xml:space="preserve"> </w:t>
      </w:r>
    </w:p>
    <w:p>
      <w:pPr>
        <w:pStyle w:val="11"/>
        <w:keepNext w:val="0"/>
        <w:keepLines w:val="0"/>
        <w:widowControl/>
        <w:numPr>
          <w:ilvl w:val="0"/>
          <w:numId w:val="1"/>
        </w:numPr>
        <w:suppressLineNumbers w:val="0"/>
        <w:spacing w:before="0" w:beforeAutospacing="0" w:after="0" w:afterAutospacing="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在诉前调解阶段，</w:t>
      </w:r>
      <w:r>
        <w:rPr>
          <w:rFonts w:hint="eastAsia" w:ascii="黑体" w:hAnsi="黑体" w:eastAsia="黑体" w:cs="黑体"/>
          <w:sz w:val="32"/>
          <w:szCs w:val="32"/>
          <w:lang w:val="en-US" w:eastAsia="zh-Hans"/>
        </w:rPr>
        <w:t>应当</w:t>
      </w:r>
      <w:r>
        <w:rPr>
          <w:rFonts w:hint="eastAsia" w:ascii="黑体" w:hAnsi="黑体" w:eastAsia="黑体" w:cs="黑体"/>
          <w:sz w:val="32"/>
          <w:szCs w:val="32"/>
          <w:lang w:val="en-US" w:eastAsia="zh-CN"/>
        </w:rPr>
        <w:t>允许当事人和代理律师进行诉讼保全，一方面可以防止一方当事人在调解过程中恶意转移财产或者销毁证据，以逃避责任或减少赔偿金额，确保调解的公正性和有效性，保障受益方的合法权益；另一方面，诉讼调解阶段因诉</w:t>
      </w:r>
      <w:r>
        <w:rPr>
          <w:rFonts w:hint="eastAsia" w:ascii="黑体" w:hAnsi="黑体" w:eastAsia="黑体" w:cs="黑体"/>
          <w:sz w:val="32"/>
          <w:szCs w:val="32"/>
          <w:lang w:val="en-US" w:eastAsia="zh-Hans"/>
        </w:rPr>
        <w:t>前</w:t>
      </w:r>
      <w:r>
        <w:rPr>
          <w:rFonts w:hint="eastAsia" w:ascii="黑体" w:hAnsi="黑体" w:eastAsia="黑体" w:cs="黑体"/>
          <w:sz w:val="32"/>
          <w:szCs w:val="32"/>
          <w:lang w:val="en-US" w:eastAsia="zh-CN"/>
        </w:rPr>
        <w:t>保全的介入对当事人施加一定的压力，迫使当事人更加积极地参与调解，促进调解效果的实现；目前，我市人民法院</w:t>
      </w:r>
      <w:r>
        <w:rPr>
          <w:rFonts w:hint="eastAsia" w:ascii="黑体" w:hAnsi="黑体" w:eastAsia="黑体" w:cs="黑体"/>
          <w:sz w:val="32"/>
          <w:szCs w:val="32"/>
          <w:lang w:val="en-US" w:eastAsia="zh-Hans"/>
        </w:rPr>
        <w:t>存在</w:t>
      </w:r>
      <w:r>
        <w:rPr>
          <w:rFonts w:hint="eastAsia" w:ascii="黑体" w:hAnsi="黑体" w:eastAsia="黑体" w:cs="黑体"/>
          <w:sz w:val="32"/>
          <w:szCs w:val="32"/>
          <w:lang w:val="en-US" w:eastAsia="zh-CN"/>
        </w:rPr>
        <w:t>不允许当事人或者代理律师在诉前调解阶段进行诉</w:t>
      </w:r>
      <w:r>
        <w:rPr>
          <w:rFonts w:hint="eastAsia" w:ascii="黑体" w:hAnsi="黑体" w:eastAsia="黑体" w:cs="黑体"/>
          <w:sz w:val="32"/>
          <w:szCs w:val="32"/>
          <w:lang w:val="en-US" w:eastAsia="zh-Hans"/>
        </w:rPr>
        <w:t>前</w:t>
      </w:r>
      <w:r>
        <w:rPr>
          <w:rFonts w:hint="eastAsia" w:ascii="黑体" w:hAnsi="黑体" w:eastAsia="黑体" w:cs="黑体"/>
          <w:sz w:val="32"/>
          <w:szCs w:val="32"/>
          <w:lang w:val="en-US" w:eastAsia="zh-CN"/>
        </w:rPr>
        <w:t>保全</w:t>
      </w:r>
      <w:r>
        <w:rPr>
          <w:rFonts w:hint="eastAsia" w:ascii="黑体" w:hAnsi="黑体" w:eastAsia="黑体" w:cs="黑体"/>
          <w:sz w:val="32"/>
          <w:szCs w:val="32"/>
          <w:lang w:val="en-US" w:eastAsia="zh-Hans"/>
        </w:rPr>
        <w:t>的问题</w:t>
      </w:r>
      <w:r>
        <w:rPr>
          <w:rFonts w:hint="eastAsia" w:ascii="黑体" w:hAnsi="黑体" w:eastAsia="黑体" w:cs="黑体"/>
          <w:sz w:val="32"/>
          <w:szCs w:val="32"/>
          <w:lang w:val="en-US" w:eastAsia="zh-CN"/>
        </w:rPr>
        <w:t xml:space="preserve">。  </w:t>
      </w:r>
    </w:p>
    <w:p>
      <w:pPr>
        <w:pStyle w:val="11"/>
        <w:keepNext w:val="0"/>
        <w:keepLines w:val="0"/>
        <w:widowControl/>
        <w:suppressLineNumbers w:val="0"/>
        <w:spacing w:before="0" w:beforeAutospacing="0" w:after="0" w:afterAutospacing="0"/>
        <w:jc w:val="both"/>
        <w:rPr>
          <w:rFonts w:hint="default"/>
          <w:sz w:val="32"/>
          <w:szCs w:val="32"/>
          <w:lang w:val="en-US"/>
        </w:rPr>
      </w:pPr>
      <w:r>
        <w:rPr>
          <w:rFonts w:hint="eastAsia" w:ascii="黑体" w:hAnsi="宋体" w:eastAsia="黑体" w:cs="黑体"/>
          <w:sz w:val="32"/>
          <w:szCs w:val="32"/>
          <w:lang w:val="en-US" w:eastAsia="zh-CN"/>
        </w:rPr>
        <w:t>【存在的问题】</w:t>
      </w:r>
      <w:r>
        <w:rPr>
          <w:rFonts w:hint="eastAsia" w:ascii="黑体" w:eastAsia="黑体" w:cs="黑体"/>
          <w:sz w:val="32"/>
          <w:szCs w:val="32"/>
          <w:lang w:val="en-US" w:eastAsia="zh-CN"/>
        </w:rPr>
        <w:t>目前我市人民法院在诉前调解阶段，没有律师申请律师调查令和进行诉</w:t>
      </w:r>
      <w:r>
        <w:rPr>
          <w:rFonts w:hint="eastAsia" w:ascii="黑体" w:eastAsia="黑体" w:cs="黑体"/>
          <w:sz w:val="32"/>
          <w:szCs w:val="32"/>
          <w:lang w:val="en-US" w:eastAsia="zh-Hans"/>
        </w:rPr>
        <w:t>前</w:t>
      </w:r>
      <w:r>
        <w:rPr>
          <w:rFonts w:hint="eastAsia" w:ascii="黑体" w:eastAsia="黑体" w:cs="黑体"/>
          <w:sz w:val="32"/>
          <w:szCs w:val="32"/>
          <w:lang w:val="en-US" w:eastAsia="zh-CN"/>
        </w:rPr>
        <w:t>保全相关的规定和实施细则，律师无法在诉前调解阶段调查案件相关证据和进行诉讼保全，导致诉前调解的效果不佳。</w:t>
      </w:r>
    </w:p>
    <w:p>
      <w:pPr>
        <w:pStyle w:val="11"/>
        <w:keepNext w:val="0"/>
        <w:keepLines w:val="0"/>
        <w:widowControl/>
        <w:suppressLineNumbers w:val="0"/>
        <w:spacing w:before="0" w:beforeAutospacing="0" w:after="0" w:afterAutospacing="0"/>
        <w:jc w:val="both"/>
        <w:rPr>
          <w:rFonts w:hint="eastAsia" w:ascii="黑体" w:hAnsi="宋体" w:eastAsia="黑体" w:cs="黑体"/>
          <w:sz w:val="32"/>
          <w:szCs w:val="32"/>
          <w:lang w:val="en-US"/>
        </w:rPr>
      </w:pPr>
      <w:r>
        <w:rPr>
          <w:rFonts w:hint="eastAsia" w:ascii="黑体" w:hAnsi="宋体" w:eastAsia="黑体" w:cs="黑体"/>
          <w:sz w:val="32"/>
          <w:szCs w:val="32"/>
          <w:lang w:val="en-US"/>
        </w:rPr>
        <w:t xml:space="preserve">【建议与意见 】 </w:t>
      </w:r>
    </w:p>
    <w:p>
      <w:pPr>
        <w:pStyle w:val="11"/>
        <w:keepNext w:val="0"/>
        <w:keepLines w:val="0"/>
        <w:widowControl/>
        <w:numPr>
          <w:ilvl w:val="0"/>
          <w:numId w:val="0"/>
        </w:numPr>
        <w:suppressLineNumbers w:val="0"/>
        <w:spacing w:before="0" w:beforeAutospacing="0" w:after="0" w:afterAutospacing="0"/>
        <w:ind w:right="0" w:rightChars="0"/>
        <w:jc w:val="both"/>
        <w:rPr>
          <w:rFonts w:hint="eastAsia" w:ascii="黑体" w:hAnsi="黑体" w:eastAsia="黑体" w:cs="黑体"/>
          <w:sz w:val="32"/>
          <w:szCs w:val="32"/>
          <w:lang w:val="en-US" w:eastAsia="zh-CN"/>
        </w:rPr>
      </w:pPr>
      <w:r>
        <w:rPr>
          <w:rFonts w:hint="eastAsia" w:ascii="黑体" w:hAnsi="宋体" w:eastAsia="黑体" w:cs="黑体"/>
          <w:sz w:val="32"/>
          <w:szCs w:val="32"/>
          <w:lang w:val="en-US"/>
        </w:rPr>
        <w:t>1、建议</w:t>
      </w:r>
      <w:r>
        <w:rPr>
          <w:rFonts w:hint="eastAsia" w:ascii="黑体" w:eastAsia="黑体" w:cs="黑体"/>
          <w:sz w:val="32"/>
          <w:szCs w:val="32"/>
          <w:lang w:val="en-US" w:eastAsia="zh-CN"/>
        </w:rPr>
        <w:t>三门峡市中级人民法院牵头，带领相关基层人民法院，学习先进地区的经验，出台律师在诉前调解阶段申请律师调查令和进行</w:t>
      </w:r>
      <w:r>
        <w:rPr>
          <w:rFonts w:hint="eastAsia" w:ascii="黑体" w:hAnsi="黑体" w:eastAsia="黑体" w:cs="黑体"/>
          <w:sz w:val="32"/>
          <w:szCs w:val="32"/>
          <w:lang w:val="en-US" w:eastAsia="zh-CN"/>
        </w:rPr>
        <w:t>诉</w:t>
      </w:r>
      <w:r>
        <w:rPr>
          <w:rFonts w:hint="eastAsia" w:ascii="黑体" w:hAnsi="黑体" w:eastAsia="黑体" w:cs="黑体"/>
          <w:sz w:val="32"/>
          <w:szCs w:val="32"/>
          <w:lang w:val="en-US" w:eastAsia="zh-Hans"/>
        </w:rPr>
        <w:t>前</w:t>
      </w:r>
      <w:r>
        <w:rPr>
          <w:rFonts w:hint="eastAsia" w:ascii="黑体" w:hAnsi="黑体" w:eastAsia="黑体" w:cs="黑体"/>
          <w:sz w:val="32"/>
          <w:szCs w:val="32"/>
          <w:lang w:val="en-US" w:eastAsia="zh-CN"/>
        </w:rPr>
        <w:t xml:space="preserve">保全的相关规定和实施细则。 </w:t>
      </w:r>
    </w:p>
    <w:p>
      <w:pPr>
        <w:pStyle w:val="11"/>
        <w:keepNext w:val="0"/>
        <w:keepLines w:val="0"/>
        <w:widowControl/>
        <w:numPr>
          <w:ilvl w:val="0"/>
          <w:numId w:val="0"/>
        </w:numPr>
        <w:suppressLineNumbers w:val="0"/>
        <w:spacing w:before="0" w:beforeAutospacing="0" w:after="0" w:afterAutospacing="0"/>
        <w:ind w:right="0" w:right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2、建议三门峡中级</w:t>
      </w:r>
      <w:r>
        <w:rPr>
          <w:rFonts w:hint="eastAsia" w:ascii="黑体" w:hAnsi="黑体" w:eastAsia="黑体" w:cs="黑体"/>
          <w:sz w:val="32"/>
          <w:szCs w:val="32"/>
          <w:lang w:val="en-US" w:eastAsia="zh-Hans"/>
        </w:rPr>
        <w:t>人民法院</w:t>
      </w:r>
      <w:r>
        <w:rPr>
          <w:rFonts w:hint="eastAsia" w:ascii="黑体" w:hAnsi="黑体" w:eastAsia="黑体" w:cs="黑体"/>
          <w:sz w:val="32"/>
          <w:szCs w:val="32"/>
          <w:lang w:val="en-US" w:eastAsia="zh-CN"/>
        </w:rPr>
        <w:t>和基层人民法院设立在诉讼服务大厅开设“律师调查令专窗”，</w:t>
      </w:r>
      <w:r>
        <w:rPr>
          <w:rFonts w:hint="eastAsia" w:ascii="黑体" w:hAnsi="黑体" w:eastAsia="黑体" w:cs="黑体"/>
          <w:sz w:val="32"/>
          <w:szCs w:val="32"/>
          <w:lang w:val="en-US" w:eastAsia="zh-Hans"/>
        </w:rPr>
        <w:t>或明确律师调查令申请的对应窗口部门，</w:t>
      </w:r>
      <w:r>
        <w:rPr>
          <w:rFonts w:hint="eastAsia" w:ascii="黑体" w:hAnsi="黑体" w:eastAsia="黑体" w:cs="黑体"/>
          <w:sz w:val="32"/>
          <w:szCs w:val="32"/>
          <w:lang w:val="en-US" w:eastAsia="zh-CN"/>
        </w:rPr>
        <w:t>统一受理诉前调解、立案、审判阶段的律师调查令申请，实现从分散办理向集约高效的提档升级。</w:t>
      </w:r>
      <w:bookmarkStart w:id="0" w:name="_GoBack"/>
      <w:bookmarkEnd w:id="0"/>
    </w:p>
    <w:sectPr>
      <w:pgSz w:w="11906" w:h="16839"/>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E8FB99"/>
    <w:multiLevelType w:val="singleLevel"/>
    <w:tmpl w:val="51E8FB9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43"/>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footnotePr>
    <w:footnote w:id="0"/>
    <w:footnote w:id="1"/>
  </w:foot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4NTkxZTM1MTcyNWM5M2M4MzNkNDgzZGY1ZTFiYTMifQ=="/>
  </w:docVars>
  <w:rsids>
    <w:rsidRoot w:val="00000000"/>
    <w:rsid w:val="01D636E1"/>
    <w:rsid w:val="083D1B91"/>
    <w:rsid w:val="099F5C8C"/>
    <w:rsid w:val="173D290C"/>
    <w:rsid w:val="19744A3F"/>
    <w:rsid w:val="1AD02149"/>
    <w:rsid w:val="1C0B42BE"/>
    <w:rsid w:val="22C2681B"/>
    <w:rsid w:val="22F64717"/>
    <w:rsid w:val="2C8A4868"/>
    <w:rsid w:val="3122461A"/>
    <w:rsid w:val="35B803E6"/>
    <w:rsid w:val="35CD05E6"/>
    <w:rsid w:val="37F524EF"/>
    <w:rsid w:val="39DA600C"/>
    <w:rsid w:val="3A876192"/>
    <w:rsid w:val="449F6565"/>
    <w:rsid w:val="45B45A14"/>
    <w:rsid w:val="487748CF"/>
    <w:rsid w:val="4B5D5934"/>
    <w:rsid w:val="4D1D5914"/>
    <w:rsid w:val="4F005E52"/>
    <w:rsid w:val="522B768A"/>
    <w:rsid w:val="524B5F75"/>
    <w:rsid w:val="5FE64EF2"/>
    <w:rsid w:val="644A1BF1"/>
    <w:rsid w:val="69AE677E"/>
    <w:rsid w:val="6F2F0361"/>
    <w:rsid w:val="6F8F2BAE"/>
    <w:rsid w:val="71C468B3"/>
    <w:rsid w:val="71DB20DB"/>
    <w:rsid w:val="7557416E"/>
    <w:rsid w:val="77874247"/>
    <w:rsid w:val="FD7F33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4">
    <w:name w:val="Default Paragraph Font"/>
    <w:qFormat/>
    <w:uiPriority w:val="0"/>
  </w:style>
  <w:style w:type="table" w:default="1" w:styleId="12">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foot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9">
    <w:name w:val="header"/>
    <w:basedOn w:val="1"/>
    <w:qFormat/>
    <w:uiPriority w:val="0"/>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Times New Roman" w:hAnsi="Times New Roman" w:eastAsia="宋体" w:cs="Times New Roman"/>
      <w:kern w:val="2"/>
      <w:sz w:val="18"/>
      <w:szCs w:val="18"/>
      <w:lang w:val="en-US" w:eastAsia="zh-CN" w:bidi="ar"/>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widowControl/>
      <w:spacing w:before="0" w:beforeAutospacing="1" w:after="0" w:afterAutospacing="1"/>
      <w:ind w:left="0" w:right="0"/>
      <w:jc w:val="left"/>
    </w:pPr>
    <w:rPr>
      <w:rFonts w:ascii="宋体" w:hAnsi="宋体" w:eastAsia="宋体" w:cs="宋体"/>
      <w:kern w:val="0"/>
      <w:sz w:val="24"/>
      <w:lang w:val="en-US" w:eastAsia="zh-CN" w:bidi="ar"/>
    </w:rPr>
  </w:style>
  <w:style w:type="table" w:styleId="13">
    <w:name w:val="Table Grid"/>
    <w:basedOn w:val="1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 China</Company>
  <Pages>4</Pages>
  <Words>1217</Words>
  <Characters>1236</Characters>
  <Lines>5</Lines>
  <Paragraphs>1</Paragraphs>
  <TotalTime>72</TotalTime>
  <ScaleCrop>false</ScaleCrop>
  <LinksUpToDate>false</LinksUpToDate>
  <CharactersWithSpaces>1355</CharactersWithSpaces>
  <Application>WPS Office_5.2.0.7734_F1E327BC-269C-435d-A152-05C5408002CA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2411-12-30T00:00:00Z</dcterms:created>
  <dc:creator>user</dc:creator>
  <cp:lastModifiedBy>咏梅</cp:lastModifiedBy>
  <dcterms:modified xsi:type="dcterms:W3CDTF">2024-02-18T11:02:01Z</dcterms:modified>
  <dc:title>198号关于法院开展诉讼保全工作的意见和建议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2052-5.2.0.7734</vt:lpwstr>
  </property>
  <property fmtid="{D5CDD505-2E9C-101B-9397-08002B2CF9AE}" pid="3" name="ICV">
    <vt:lpwstr>4131A7C8DA9B4D5D9C17F8A73FCBEDDE_13</vt:lpwstr>
  </property>
</Properties>
</file>