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D6ACE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 w14:paraId="69883427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关于探索推进地下车位不动产登记的提案</w:t>
      </w:r>
    </w:p>
    <w:p w14:paraId="1B97ACE0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 w14:paraId="296B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市政协常委、市自然资源和规划局副局长 梁国鹏</w:t>
      </w:r>
    </w:p>
    <w:p w14:paraId="5B114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89A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开展地下车位登记工作,能够助推房地产市场健康规范有序发展，能够有效盘活房地产企业沉睡资产，能够依法保护权利人合法资产，能够增加区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域财政收入。目前我市地下车位登记工作尚未启动。经摸底调查，以服开区为例：规划建设地下车位5万余个，非人防车位2万余个，市场均价8万/个，契税税率按4%计算，仅非人防车位缴纳契税一项即可增加税收6000多万元。但是也面临多重风险隐患。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因开发企业早期销售合同条款模糊、性质界定混乱（如使用权与产权混淆），易诱发业主与企业间的产权纠纷，甚至引发群体性信访事件。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部分企业存在破产注销或主体灭失问题，导致无法追溯合同签订主体、补缴历史税款，造成登记程序搁置。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多数开发企业已经出售的地下车位中，既有普通车位，也有人防车位，且开发商在出售车位时只开具收据，没有正规的合同和发票，一定程度损害了业主利益。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人防车位因涉及国防资产属性，国动部门认为不宜纳入不动产登记范畴，与业主产权诉求形成直接冲突。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超规划建设车位因缺乏合法审批手续，存在颁证合规性争议。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部分企业因财务困境无法履行纳税义务，导致已售车位陷入“有交易无登记”的僵局。这些问题若未建立系统化的风险缓释机制，可能加剧法律争议与社会矛盾，影响登记制度公信力。</w:t>
      </w:r>
    </w:p>
    <w:p w14:paraId="7CA94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鉴于上述情况，提出以下建议：</w:t>
      </w:r>
    </w:p>
    <w:p w14:paraId="0DF3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一、合力推进。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建议由市政府牵头，住建、自然资源和规划、税务、国动、财政等部门分工负责，协同开展地下车位不动产登记工作。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市住建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负责规范车位销售网签备案，202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年起新售车位必须网签，存量未售车位补办备案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市自然资源和规划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负责地下车位地籍调查、登记发证及规划合规性审核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市国防动员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全市人防车位普查，出具《人防工程认定意见书》，作为登记依据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市税务局负责地下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车位税率的确认以及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税费的征缴工作。</w:t>
      </w:r>
    </w:p>
    <w:p w14:paraId="32CAF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二、明确范围。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中心城区范围内依法取得国有建设用地使用权，结合地面建筑物一并开发建设的住宅小区的地下汽车停车位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可以办理不动产登记。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现行《民法典》第275条明确人防车位本质属性为国家战备设施，权属归国家所有，开发商仅享有用益物权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基于《民法典》的规定，按照“谁投资谁所有、谁受益谁维护”的原则，将人防车位纳入登记范围，权利类型使用权，同时在登记簿和证书上注明“人防工程,战时无条件服从政府调用”字样。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对于不符合规划、违法建设的车位不得登记。</w:t>
      </w:r>
    </w:p>
    <w:p w14:paraId="6FE4C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三、尊重历史。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按照“尊重历史、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兼顾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现实、民生优先”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制定地下车位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不动产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登记历史遗留问题处置方案，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审慎稳妥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化解。建立“证缴分离”机制，群众凭购房协议、付款凭证等可容缺办理登记，开发商欠缴税费由相关部门另行追缴，不影响群众办证权益。实行“先行登记、并行追缴”，群众办证与开发商缴费脱钩，由税务、住建部门通过法律途径向企业追欠，避免“群众为企业过错买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对在历史遗留问题化解中主动担当、突破常规的单位和个人，经认定未谋取私利且符合民生导向的，依法依规免除相关责任，营造“敢干事、能干事”的工作氛围。</w:t>
      </w:r>
    </w:p>
    <w:p w14:paraId="130C7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四、试点先行。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，地下车位权属登记存在法律依据模糊、产权边界不清等问题，建议采取“试点先行、分步推进”策略稳妥实施改革。优先选择产权关系清晰、管理规范的成熟社区（首选国有企业开发建设小区，比如文旅集团和城建集团）作为试点区域，重点突破登记流程优化、权属确认标准、税费计算规则等核心问题。通过试点积累经验后，逐步扩大地下车位登记范围，最终形成覆盖全市地下车位的登记体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28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F92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F92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D4917"/>
    <w:rsid w:val="02DE78EA"/>
    <w:rsid w:val="03562A5C"/>
    <w:rsid w:val="03A32C74"/>
    <w:rsid w:val="04616819"/>
    <w:rsid w:val="05E4299A"/>
    <w:rsid w:val="06790757"/>
    <w:rsid w:val="074A5CF3"/>
    <w:rsid w:val="075E2E16"/>
    <w:rsid w:val="09503D80"/>
    <w:rsid w:val="0ACE44C1"/>
    <w:rsid w:val="0B884C29"/>
    <w:rsid w:val="0EB43F87"/>
    <w:rsid w:val="0EF02B48"/>
    <w:rsid w:val="0F0E18EA"/>
    <w:rsid w:val="0F5D157F"/>
    <w:rsid w:val="0F873B4A"/>
    <w:rsid w:val="0F9E2E3C"/>
    <w:rsid w:val="0FEB03E6"/>
    <w:rsid w:val="10EA4995"/>
    <w:rsid w:val="1216588D"/>
    <w:rsid w:val="12752B99"/>
    <w:rsid w:val="14681A9C"/>
    <w:rsid w:val="146A7FAD"/>
    <w:rsid w:val="169662C6"/>
    <w:rsid w:val="176D5C4E"/>
    <w:rsid w:val="17872239"/>
    <w:rsid w:val="18155E1D"/>
    <w:rsid w:val="188350F6"/>
    <w:rsid w:val="195E16BF"/>
    <w:rsid w:val="19C458F5"/>
    <w:rsid w:val="19DA170E"/>
    <w:rsid w:val="19EF3F0D"/>
    <w:rsid w:val="1BC27E50"/>
    <w:rsid w:val="1C9344F8"/>
    <w:rsid w:val="1CDA0740"/>
    <w:rsid w:val="1E816029"/>
    <w:rsid w:val="1F070103"/>
    <w:rsid w:val="1F5D5785"/>
    <w:rsid w:val="1FCC06CD"/>
    <w:rsid w:val="1FD33F78"/>
    <w:rsid w:val="1FD5398D"/>
    <w:rsid w:val="1FE31D9C"/>
    <w:rsid w:val="2039253E"/>
    <w:rsid w:val="20BB1E21"/>
    <w:rsid w:val="21B756A9"/>
    <w:rsid w:val="21FE0CAD"/>
    <w:rsid w:val="225E6E8D"/>
    <w:rsid w:val="23000C31"/>
    <w:rsid w:val="23E63F89"/>
    <w:rsid w:val="246A191F"/>
    <w:rsid w:val="25734CB2"/>
    <w:rsid w:val="27B149D4"/>
    <w:rsid w:val="296E3259"/>
    <w:rsid w:val="2A3A138D"/>
    <w:rsid w:val="2ABE3D6C"/>
    <w:rsid w:val="2AD640D4"/>
    <w:rsid w:val="2BFF71DE"/>
    <w:rsid w:val="2D025927"/>
    <w:rsid w:val="2DA101EE"/>
    <w:rsid w:val="2E7554B1"/>
    <w:rsid w:val="2F3C3821"/>
    <w:rsid w:val="2F3F64DB"/>
    <w:rsid w:val="31822D4D"/>
    <w:rsid w:val="31ED2BC7"/>
    <w:rsid w:val="32AB7C4E"/>
    <w:rsid w:val="33704071"/>
    <w:rsid w:val="339733AC"/>
    <w:rsid w:val="34723D5A"/>
    <w:rsid w:val="354C231A"/>
    <w:rsid w:val="35944547"/>
    <w:rsid w:val="363964A4"/>
    <w:rsid w:val="36552BB1"/>
    <w:rsid w:val="37B7401D"/>
    <w:rsid w:val="383438BF"/>
    <w:rsid w:val="386E4498"/>
    <w:rsid w:val="387277DE"/>
    <w:rsid w:val="3A614714"/>
    <w:rsid w:val="3D30069E"/>
    <w:rsid w:val="3D3E3B50"/>
    <w:rsid w:val="40101309"/>
    <w:rsid w:val="401A41B9"/>
    <w:rsid w:val="41566A3D"/>
    <w:rsid w:val="423D15C3"/>
    <w:rsid w:val="425352B7"/>
    <w:rsid w:val="42AA319B"/>
    <w:rsid w:val="42C41750"/>
    <w:rsid w:val="45EA5551"/>
    <w:rsid w:val="478570CF"/>
    <w:rsid w:val="47A26054"/>
    <w:rsid w:val="48F66842"/>
    <w:rsid w:val="4A407E68"/>
    <w:rsid w:val="4ABE526B"/>
    <w:rsid w:val="4B18454E"/>
    <w:rsid w:val="4CB93F3C"/>
    <w:rsid w:val="4CBB5870"/>
    <w:rsid w:val="4D953214"/>
    <w:rsid w:val="4DA95149"/>
    <w:rsid w:val="4E314552"/>
    <w:rsid w:val="4EBF7184"/>
    <w:rsid w:val="4EF179BD"/>
    <w:rsid w:val="4F373A05"/>
    <w:rsid w:val="4F4425D1"/>
    <w:rsid w:val="4F8E5B53"/>
    <w:rsid w:val="4FCC21D8"/>
    <w:rsid w:val="50170030"/>
    <w:rsid w:val="50905C7D"/>
    <w:rsid w:val="53FA7313"/>
    <w:rsid w:val="5402441A"/>
    <w:rsid w:val="540A4497"/>
    <w:rsid w:val="548B2716"/>
    <w:rsid w:val="549D0001"/>
    <w:rsid w:val="55621614"/>
    <w:rsid w:val="563F1A08"/>
    <w:rsid w:val="56433385"/>
    <w:rsid w:val="579F49AB"/>
    <w:rsid w:val="58627CDF"/>
    <w:rsid w:val="592F5CB1"/>
    <w:rsid w:val="5A403EEE"/>
    <w:rsid w:val="5ACE14FA"/>
    <w:rsid w:val="5B21162A"/>
    <w:rsid w:val="5B4B2110"/>
    <w:rsid w:val="5D4B5A60"/>
    <w:rsid w:val="5DDF7B22"/>
    <w:rsid w:val="5EBF0A7E"/>
    <w:rsid w:val="5EDF5B24"/>
    <w:rsid w:val="5F7E4FF2"/>
    <w:rsid w:val="5FD34FA2"/>
    <w:rsid w:val="5FFE54AE"/>
    <w:rsid w:val="600004DB"/>
    <w:rsid w:val="60182E76"/>
    <w:rsid w:val="60ED3AE3"/>
    <w:rsid w:val="63D73106"/>
    <w:rsid w:val="64493CB6"/>
    <w:rsid w:val="645475E2"/>
    <w:rsid w:val="652065E5"/>
    <w:rsid w:val="66E75E1D"/>
    <w:rsid w:val="66E861BF"/>
    <w:rsid w:val="674072DB"/>
    <w:rsid w:val="67EE647C"/>
    <w:rsid w:val="685A6B46"/>
    <w:rsid w:val="6AB30445"/>
    <w:rsid w:val="6B3008F6"/>
    <w:rsid w:val="6B5F73E2"/>
    <w:rsid w:val="6BB64010"/>
    <w:rsid w:val="6BEE37AA"/>
    <w:rsid w:val="6DBF6677"/>
    <w:rsid w:val="6DFB0BB9"/>
    <w:rsid w:val="6E48573B"/>
    <w:rsid w:val="6EAB751D"/>
    <w:rsid w:val="6F1D043C"/>
    <w:rsid w:val="70FD63FE"/>
    <w:rsid w:val="740A4279"/>
    <w:rsid w:val="743D34BF"/>
    <w:rsid w:val="75D31479"/>
    <w:rsid w:val="76AB7F7B"/>
    <w:rsid w:val="76C13F86"/>
    <w:rsid w:val="777D3BB6"/>
    <w:rsid w:val="79A566FF"/>
    <w:rsid w:val="79E65AC0"/>
    <w:rsid w:val="7AF8440D"/>
    <w:rsid w:val="7B0528FD"/>
    <w:rsid w:val="7C0B5619"/>
    <w:rsid w:val="7CA95D92"/>
    <w:rsid w:val="7D3C2C3E"/>
    <w:rsid w:val="7D502CB8"/>
    <w:rsid w:val="7E926217"/>
    <w:rsid w:val="7F7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1426</Words>
  <Characters>1435</Characters>
  <Lines>0</Lines>
  <Paragraphs>0</Paragraphs>
  <TotalTime>3</TotalTime>
  <ScaleCrop>false</ScaleCrop>
  <LinksUpToDate>false</LinksUpToDate>
  <CharactersWithSpaces>1436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2025-03-22T16:20:00Z</dcterms:created>
  <dc:creator>l</dc:creator>
  <cp:lastModifiedBy>企业用户_505050516</cp:lastModifiedBy>
  <cp:lastPrinted>2025-05-13T10:02:00Z</cp:lastPrinted>
  <dcterms:modified xsi:type="dcterms:W3CDTF">2026-02-04T03:55:47Z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eyJoZGlkIjoiNzU1NzhjMmM0MmMyYmQ4Zjc5ZTlkYTEwMTUyNmQ5ODAiLCJ1c2VySWQiOiI0MjU3NzU5ODQifQ==</vt:lpwstr>
  </property>
  <property fmtid="{D5CDD505-2E9C-101B-9397-08002B2CF9AE}" pid="4" name="ICV">
    <vt:lpwstr>1C7CC9A46BF346659C0CBC3A782EC5B1_13</vt:lpwstr>
  </property>
</Properties>
</file>